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45" w:rsidRPr="00A02F11" w:rsidRDefault="00773642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02F11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 w:rsidR="005E7945" w:rsidRPr="00A02F11">
        <w:rPr>
          <w:rFonts w:ascii="Times New Roman" w:hAnsi="Times New Roman" w:cs="Times New Roman"/>
          <w:b/>
          <w:i/>
          <w:sz w:val="24"/>
          <w:szCs w:val="24"/>
        </w:rPr>
        <w:t>типовой формы</w:t>
      </w:r>
    </w:p>
    <w:p w:rsidR="00DF6769" w:rsidRPr="00A02F11" w:rsidRDefault="00773642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02F11">
        <w:rPr>
          <w:rFonts w:ascii="Times New Roman" w:hAnsi="Times New Roman" w:cs="Times New Roman"/>
          <w:b/>
          <w:i/>
          <w:sz w:val="24"/>
          <w:szCs w:val="24"/>
        </w:rPr>
        <w:t>годового отчета</w:t>
      </w:r>
      <w:r w:rsidR="00263136" w:rsidRPr="00A02F11">
        <w:rPr>
          <w:rFonts w:ascii="Times New Roman" w:hAnsi="Times New Roman" w:cs="Times New Roman"/>
          <w:b/>
          <w:i/>
          <w:sz w:val="24"/>
          <w:szCs w:val="24"/>
        </w:rPr>
        <w:t xml:space="preserve"> о деятельности</w:t>
      </w:r>
    </w:p>
    <w:p w:rsidR="00745E40" w:rsidRPr="00A02F11" w:rsidRDefault="00DF6769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02F11">
        <w:rPr>
          <w:rFonts w:ascii="Times New Roman" w:hAnsi="Times New Roman" w:cs="Times New Roman"/>
          <w:b/>
          <w:i/>
          <w:sz w:val="24"/>
          <w:szCs w:val="24"/>
        </w:rPr>
        <w:t>для опубликования на сайте</w:t>
      </w:r>
    </w:p>
    <w:p w:rsidR="001A5B32" w:rsidRPr="00263136" w:rsidRDefault="001A5B32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45E40" w:rsidRPr="00263136" w:rsidRDefault="00745E4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Утве</w:t>
      </w:r>
      <w:r w:rsidR="00732A0D" w:rsidRPr="00263136">
        <w:rPr>
          <w:rFonts w:ascii="Times New Roman" w:hAnsi="Times New Roman" w:cs="Times New Roman"/>
          <w:i/>
          <w:sz w:val="24"/>
          <w:szCs w:val="24"/>
        </w:rPr>
        <w:t>р</w:t>
      </w:r>
      <w:r w:rsidR="00F52201" w:rsidRPr="00263136">
        <w:rPr>
          <w:rFonts w:ascii="Times New Roman" w:hAnsi="Times New Roman" w:cs="Times New Roman"/>
          <w:i/>
          <w:sz w:val="24"/>
          <w:szCs w:val="24"/>
        </w:rPr>
        <w:t xml:space="preserve">ждено </w:t>
      </w:r>
      <w:r w:rsidRPr="00263136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085AD6" w:rsidRPr="00263136" w:rsidRDefault="00745E4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085AD6" w:rsidRPr="00263136" w:rsidRDefault="00745E4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136" w:rsidRDefault="0026313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136" w:rsidRDefault="0026313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136" w:rsidRDefault="0026313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136" w:rsidRDefault="0026313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136" w:rsidRPr="00263136" w:rsidRDefault="0026313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732" w:rsidRPr="00D8545D" w:rsidRDefault="00263136" w:rsidP="0026313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DF6769">
        <w:rPr>
          <w:rFonts w:ascii="Times New Roman" w:hAnsi="Times New Roman" w:cs="Times New Roman"/>
          <w:b/>
          <w:sz w:val="24"/>
          <w:szCs w:val="24"/>
        </w:rPr>
        <w:t>орма</w:t>
      </w:r>
      <w:r w:rsidR="00745E40" w:rsidRPr="00D8545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52201">
        <w:rPr>
          <w:rFonts w:ascii="Times New Roman" w:hAnsi="Times New Roman" w:cs="Times New Roman"/>
          <w:b/>
          <w:sz w:val="24"/>
          <w:szCs w:val="24"/>
        </w:rPr>
        <w:t>одового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="00F52201">
        <w:rPr>
          <w:rFonts w:ascii="Times New Roman" w:hAnsi="Times New Roman" w:cs="Times New Roman"/>
          <w:b/>
          <w:sz w:val="24"/>
          <w:szCs w:val="24"/>
        </w:rPr>
        <w:t>а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732" w:rsidRPr="00D8545D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F5276">
        <w:rPr>
          <w:rFonts w:ascii="Times New Roman" w:hAnsi="Times New Roman" w:cs="Times New Roman"/>
          <w:b/>
          <w:sz w:val="24"/>
          <w:szCs w:val="24"/>
        </w:rPr>
        <w:t xml:space="preserve"> организации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F6769">
        <w:rPr>
          <w:rFonts w:ascii="Times New Roman" w:hAnsi="Times New Roman" w:cs="Times New Roman"/>
          <w:b/>
          <w:sz w:val="24"/>
          <w:szCs w:val="24"/>
        </w:rPr>
        <w:t>для опубликования на сайте</w:t>
      </w:r>
    </w:p>
    <w:p w:rsidR="005D5732" w:rsidRPr="00D8545D" w:rsidRDefault="005D5732" w:rsidP="0026313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45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5732" w:rsidRPr="00D8545D" w:rsidRDefault="005D5732" w:rsidP="0026313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45D">
        <w:rPr>
          <w:rFonts w:ascii="Times New Roman" w:hAnsi="Times New Roman" w:cs="Times New Roman"/>
          <w:sz w:val="24"/>
          <w:szCs w:val="24"/>
        </w:rPr>
        <w:t>(наименование медицинской организации)</w:t>
      </w:r>
    </w:p>
    <w:p w:rsidR="00085AD6" w:rsidRPr="00D8545D" w:rsidRDefault="00A44B50" w:rsidP="0026313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D8545D">
        <w:rPr>
          <w:rFonts w:ascii="Times New Roman" w:hAnsi="Times New Roman" w:cs="Times New Roman"/>
          <w:b/>
          <w:sz w:val="24"/>
          <w:szCs w:val="24"/>
        </w:rPr>
        <w:t>_____год</w:t>
      </w:r>
      <w:proofErr w:type="spellEnd"/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EC9" w:rsidRPr="00263136" w:rsidRDefault="00E63EC9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AD6" w:rsidRPr="00263136" w:rsidRDefault="00085AD6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7829" w:rsidRPr="00263136" w:rsidRDefault="00207829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5D" w:rsidRPr="00263136" w:rsidRDefault="00D8545D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5D" w:rsidRPr="00263136" w:rsidRDefault="00D8545D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5D" w:rsidRPr="00263136" w:rsidRDefault="00D8545D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5D" w:rsidRPr="00263136" w:rsidRDefault="00D8545D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5D" w:rsidRPr="00263136" w:rsidRDefault="00D8545D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4B50" w:rsidRPr="00263136" w:rsidRDefault="00A44B50" w:rsidP="002631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136" w:rsidRDefault="00FF793A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551">
        <w:rPr>
          <w:rFonts w:ascii="Times New Roman" w:hAnsi="Times New Roman" w:cs="Times New Roman"/>
          <w:b/>
          <w:sz w:val="24"/>
          <w:szCs w:val="24"/>
        </w:rPr>
        <w:t>Населенный пункт (город)</w:t>
      </w:r>
      <w:r w:rsidR="005D5732" w:rsidRPr="00F85551">
        <w:rPr>
          <w:rFonts w:ascii="Times New Roman" w:hAnsi="Times New Roman" w:cs="Times New Roman"/>
          <w:b/>
          <w:sz w:val="24"/>
          <w:szCs w:val="24"/>
        </w:rPr>
        <w:t>, год</w:t>
      </w:r>
      <w:r w:rsidR="0026313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596D" w:rsidRPr="009D0AC6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D0AC6">
        <w:rPr>
          <w:rFonts w:ascii="Times New Roman" w:hAnsi="Times New Roman" w:cs="Times New Roman"/>
          <w:b/>
        </w:rPr>
        <w:lastRenderedPageBreak/>
        <w:t>СОДЕРЖАНИЕ</w:t>
      </w:r>
    </w:p>
    <w:p w:rsidR="007C596D" w:rsidRPr="009D0AC6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C596D" w:rsidRPr="009D0AC6" w:rsidRDefault="00263136" w:rsidP="002631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D0AC6">
        <w:rPr>
          <w:rFonts w:ascii="Times New Roman" w:hAnsi="Times New Roman" w:cs="Times New Roman"/>
          <w:b/>
          <w:bCs/>
        </w:rPr>
        <w:t>РАЗДЕЛ 1. О ПРЕДПРИЯТИИ</w:t>
      </w:r>
    </w:p>
    <w:p w:rsidR="0094294A" w:rsidRPr="009D0AC6" w:rsidRDefault="0094294A" w:rsidP="00263136">
      <w:pPr>
        <w:pStyle w:val="a4"/>
        <w:widowControl w:val="0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9D0AC6">
        <w:rPr>
          <w:rFonts w:ascii="Times New Roman" w:hAnsi="Times New Roman" w:cs="Times New Roman"/>
          <w:lang w:val="kk-KZ"/>
        </w:rPr>
        <w:t>1.1</w:t>
      </w:r>
      <w:r w:rsidR="008D7A49" w:rsidRPr="009D0AC6">
        <w:rPr>
          <w:rFonts w:ascii="Times New Roman" w:hAnsi="Times New Roman" w:cs="Times New Roman"/>
          <w:lang w:val="kk-KZ"/>
        </w:rPr>
        <w:t>.</w:t>
      </w:r>
      <w:r w:rsidRPr="009D0AC6">
        <w:rPr>
          <w:rFonts w:ascii="Times New Roman" w:hAnsi="Times New Roman" w:cs="Times New Roman"/>
          <w:lang w:val="kk-KZ"/>
        </w:rPr>
        <w:t xml:space="preserve"> </w:t>
      </w:r>
      <w:r w:rsidR="007C596D" w:rsidRPr="009D0AC6">
        <w:rPr>
          <w:rFonts w:ascii="Times New Roman" w:hAnsi="Times New Roman" w:cs="Times New Roman"/>
        </w:rPr>
        <w:t>Краткое описание организации и предоставляемых медицинских услуг (миссия, видение</w:t>
      </w:r>
      <w:r w:rsidR="008D26B2" w:rsidRPr="009D0AC6">
        <w:rPr>
          <w:rFonts w:ascii="Times New Roman" w:hAnsi="Times New Roman" w:cs="Times New Roman"/>
        </w:rPr>
        <w:t xml:space="preserve">, </w:t>
      </w:r>
      <w:r w:rsidR="00F52201" w:rsidRPr="009D0AC6">
        <w:rPr>
          <w:rFonts w:ascii="Times New Roman" w:hAnsi="Times New Roman" w:cs="Times New Roman"/>
        </w:rPr>
        <w:t>отчетный год</w:t>
      </w:r>
      <w:r w:rsidR="008D26B2" w:rsidRPr="009D0AC6">
        <w:rPr>
          <w:rFonts w:ascii="Times New Roman" w:hAnsi="Times New Roman" w:cs="Times New Roman"/>
        </w:rPr>
        <w:t xml:space="preserve"> в цифрах</w:t>
      </w:r>
      <w:r w:rsidR="007C596D" w:rsidRPr="009D0AC6">
        <w:rPr>
          <w:rFonts w:ascii="Times New Roman" w:hAnsi="Times New Roman" w:cs="Times New Roman"/>
        </w:rPr>
        <w:t>)</w:t>
      </w:r>
    </w:p>
    <w:p w:rsidR="007C596D" w:rsidRPr="009D0AC6" w:rsidRDefault="0094294A" w:rsidP="00263136">
      <w:pPr>
        <w:pStyle w:val="a4"/>
        <w:widowControl w:val="0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  <w:lang w:val="kk-KZ"/>
        </w:rPr>
        <w:t>1.2</w:t>
      </w:r>
      <w:r w:rsidR="008D7A49" w:rsidRPr="009D0AC6">
        <w:rPr>
          <w:rFonts w:ascii="Times New Roman" w:hAnsi="Times New Roman" w:cs="Times New Roman"/>
          <w:lang w:val="kk-KZ"/>
        </w:rPr>
        <w:t>.</w:t>
      </w:r>
      <w:r w:rsidRPr="009D0AC6">
        <w:rPr>
          <w:rFonts w:ascii="Times New Roman" w:hAnsi="Times New Roman" w:cs="Times New Roman"/>
          <w:lang w:val="kk-KZ"/>
        </w:rPr>
        <w:t xml:space="preserve"> </w:t>
      </w:r>
      <w:r w:rsidR="007C596D" w:rsidRPr="009D0AC6">
        <w:rPr>
          <w:rFonts w:ascii="Times New Roman" w:hAnsi="Times New Roman" w:cs="Times New Roman"/>
        </w:rPr>
        <w:t>Стратегия развития (стратегические цели и задачи)</w:t>
      </w:r>
    </w:p>
    <w:p w:rsidR="0094294A" w:rsidRPr="009D0AC6" w:rsidRDefault="0094294A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D0AC6">
        <w:rPr>
          <w:rFonts w:ascii="Times New Roman" w:hAnsi="Times New Roman" w:cs="Times New Roman"/>
          <w:b/>
          <w:bCs/>
        </w:rPr>
        <w:t>РАЗДЕЛ 2. КОРПОРАТИВНОЕ УПРАВЛЕНИЕ</w:t>
      </w:r>
      <w:r w:rsidR="001E24DC" w:rsidRPr="009D0AC6">
        <w:rPr>
          <w:rFonts w:ascii="Times New Roman" w:hAnsi="Times New Roman" w:cs="Times New Roman"/>
          <w:b/>
          <w:bCs/>
        </w:rPr>
        <w:t xml:space="preserve"> (для организации с корпоративным управлением)</w:t>
      </w:r>
    </w:p>
    <w:p w:rsidR="007C596D" w:rsidRPr="009D0AC6" w:rsidRDefault="007C596D" w:rsidP="00263136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  <w:bCs/>
        </w:rPr>
        <w:t xml:space="preserve">2.1. </w:t>
      </w:r>
      <w:r w:rsidRPr="009D0AC6">
        <w:rPr>
          <w:rFonts w:ascii="Times New Roman" w:hAnsi="Times New Roman" w:cs="Times New Roman"/>
        </w:rPr>
        <w:t>Структура корпоративного управления, состав наблюдательного совета/совета</w:t>
      </w:r>
    </w:p>
    <w:p w:rsidR="007C596D" w:rsidRPr="009D0AC6" w:rsidRDefault="007C596D" w:rsidP="00263136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</w:rPr>
      </w:pPr>
      <w:r w:rsidRPr="009D0AC6">
        <w:rPr>
          <w:rFonts w:ascii="Times New Roman" w:hAnsi="Times New Roman" w:cs="Times New Roman"/>
        </w:rPr>
        <w:t xml:space="preserve">  директоров 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  <w:bCs/>
        </w:rPr>
        <w:t xml:space="preserve">2.2. </w:t>
      </w:r>
      <w:r w:rsidRPr="009D0AC6">
        <w:rPr>
          <w:rFonts w:ascii="Times New Roman" w:hAnsi="Times New Roman" w:cs="Times New Roman"/>
        </w:rPr>
        <w:t>Состав и деятельност</w:t>
      </w:r>
      <w:r w:rsidR="00735613" w:rsidRPr="009D0AC6">
        <w:rPr>
          <w:rFonts w:ascii="Times New Roman" w:hAnsi="Times New Roman" w:cs="Times New Roman"/>
        </w:rPr>
        <w:t>ь Службы внутреннего аудита</w:t>
      </w:r>
    </w:p>
    <w:p w:rsidR="0094294A" w:rsidRPr="009D0AC6" w:rsidRDefault="0094294A" w:rsidP="00263136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</w:p>
    <w:p w:rsidR="007C596D" w:rsidRPr="009D0AC6" w:rsidRDefault="007C596D" w:rsidP="00263136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D0AC6">
        <w:rPr>
          <w:rFonts w:ascii="Times New Roman" w:hAnsi="Times New Roman" w:cs="Times New Roman"/>
          <w:b/>
          <w:bCs/>
        </w:rPr>
        <w:t>РАЗДЕЛ 3. ОЦЕНКА КОНКУРЕНТОСПОСОБНОСТИ ПРЕДПРИЯТИЯ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>3.1. Ключевые показатели деятельности (по плану развития)</w:t>
      </w: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>3.2. Основные медико-экономические показатели (</w:t>
      </w:r>
      <w:proofErr w:type="gramStart"/>
      <w:r w:rsidRPr="009D0AC6">
        <w:rPr>
          <w:rFonts w:ascii="Times New Roman" w:hAnsi="Times New Roman" w:cs="Times New Roman"/>
        </w:rPr>
        <w:t>за</w:t>
      </w:r>
      <w:proofErr w:type="gramEnd"/>
      <w:r w:rsidRPr="009D0AC6">
        <w:rPr>
          <w:rFonts w:ascii="Times New Roman" w:hAnsi="Times New Roman" w:cs="Times New Roman"/>
        </w:rPr>
        <w:t xml:space="preserve"> последние 3 года)</w:t>
      </w:r>
    </w:p>
    <w:p w:rsidR="0094294A" w:rsidRPr="009D0AC6" w:rsidRDefault="0094294A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</w:rPr>
      </w:pPr>
      <w:r w:rsidRPr="009D0AC6">
        <w:rPr>
          <w:rFonts w:ascii="Times New Roman" w:hAnsi="Times New Roman" w:cs="Times New Roman"/>
          <w:b/>
          <w:bCs/>
          <w:iCs/>
        </w:rPr>
        <w:t xml:space="preserve">РАЗДЕЛ 4. ФИНАНСОВАЯ ОТЧЕТНОСТЬ И </w:t>
      </w:r>
      <w:r w:rsidRPr="009D0AC6">
        <w:rPr>
          <w:rFonts w:ascii="Times New Roman" w:hAnsi="Times New Roman" w:cs="Times New Roman"/>
          <w:b/>
          <w:bCs/>
        </w:rPr>
        <w:t>ЭФФЕКТИВНОЕ ИСПОЛЬЗОВАНИЕ ФИНАНСОВЫХ СРЕДСТВ. МЕХАНИЗМ ПОВЫШЕНИЯ ДОХОДНОЙ ЧАСТИ БЮДЖЕТА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>4.1. Отчет о финансовом положении (финансово-экономические показатели)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>4.2</w:t>
      </w:r>
      <w:r w:rsidR="008D7A49" w:rsidRPr="009D0AC6">
        <w:rPr>
          <w:rFonts w:ascii="Times New Roman" w:hAnsi="Times New Roman" w:cs="Times New Roman"/>
          <w:bCs/>
          <w:iCs/>
        </w:rPr>
        <w:t>.</w:t>
      </w:r>
      <w:r w:rsidR="008A4B4D" w:rsidRPr="009D0AC6">
        <w:rPr>
          <w:rFonts w:ascii="Times New Roman" w:hAnsi="Times New Roman" w:cs="Times New Roman"/>
          <w:bCs/>
          <w:iCs/>
        </w:rPr>
        <w:t xml:space="preserve"> Отчет о прибыли,</w:t>
      </w:r>
      <w:r w:rsidRPr="009D0AC6">
        <w:rPr>
          <w:rFonts w:ascii="Times New Roman" w:hAnsi="Times New Roman" w:cs="Times New Roman"/>
          <w:bCs/>
          <w:iCs/>
        </w:rPr>
        <w:t xml:space="preserve"> убытке и совокупном доходе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>4.3</w:t>
      </w:r>
      <w:r w:rsidR="008D7A49" w:rsidRPr="009D0AC6">
        <w:rPr>
          <w:rFonts w:ascii="Times New Roman" w:hAnsi="Times New Roman" w:cs="Times New Roman"/>
          <w:bCs/>
          <w:iCs/>
        </w:rPr>
        <w:t>.</w:t>
      </w:r>
      <w:r w:rsidRPr="009D0AC6">
        <w:rPr>
          <w:rFonts w:ascii="Times New Roman" w:hAnsi="Times New Roman" w:cs="Times New Roman"/>
          <w:bCs/>
          <w:iCs/>
        </w:rPr>
        <w:t xml:space="preserve"> Отчет об изменениях в капитале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>4.4. Отчет о движении денежных средств</w:t>
      </w: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>4.5. Оценка эффективности использования основных средств</w:t>
      </w: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>4.6. Повышение доли внебюджетных средств в объеме дохода</w:t>
      </w:r>
    </w:p>
    <w:p w:rsidR="00AF457A" w:rsidRPr="009D0AC6" w:rsidRDefault="00AF457A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lang w:val="kk-KZ"/>
        </w:rPr>
      </w:pPr>
    </w:p>
    <w:p w:rsidR="007C596D" w:rsidRPr="009D0AC6" w:rsidRDefault="007C596D" w:rsidP="002631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  <w:b/>
          <w:bCs/>
        </w:rPr>
        <w:t>РАЗДЕЛ 5. ПАЦИЕНТЫ</w:t>
      </w:r>
    </w:p>
    <w:p w:rsidR="007C596D" w:rsidRPr="009D0AC6" w:rsidRDefault="007C596D" w:rsidP="002631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>5.1</w:t>
      </w:r>
      <w:r w:rsidR="008D7A49" w:rsidRPr="009D0AC6">
        <w:rPr>
          <w:rFonts w:ascii="Times New Roman" w:hAnsi="Times New Roman" w:cs="Times New Roman"/>
        </w:rPr>
        <w:t>.</w:t>
      </w:r>
      <w:r w:rsidRPr="009D0AC6">
        <w:rPr>
          <w:rFonts w:ascii="Times New Roman" w:hAnsi="Times New Roman" w:cs="Times New Roman"/>
        </w:rPr>
        <w:t xml:space="preserve"> Привлечение (прикрепление) пациентов</w:t>
      </w:r>
    </w:p>
    <w:p w:rsidR="007C596D" w:rsidRPr="009D0AC6" w:rsidRDefault="00F52201" w:rsidP="002631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>5.2.</w:t>
      </w:r>
      <w:r w:rsidR="007C596D" w:rsidRPr="009D0AC6">
        <w:rPr>
          <w:rFonts w:ascii="Times New Roman" w:hAnsi="Times New Roman" w:cs="Times New Roman"/>
        </w:rPr>
        <w:t>Удовлетворенность пациентов услугами медицинской организации. Работа с жалобами.</w:t>
      </w:r>
    </w:p>
    <w:p w:rsidR="007C596D" w:rsidRPr="009D0AC6" w:rsidRDefault="007C596D" w:rsidP="00263136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 xml:space="preserve">5.3. Работа с пациентами, управление структурой госпитализированных пациентов. 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9D0AC6">
        <w:rPr>
          <w:rFonts w:ascii="Times New Roman" w:hAnsi="Times New Roman" w:cs="Times New Roman"/>
          <w:bCs/>
        </w:rPr>
        <w:t>5.4. Безопасность пациентов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9D0AC6">
        <w:rPr>
          <w:rFonts w:ascii="Times New Roman" w:hAnsi="Times New Roman" w:cs="Times New Roman"/>
          <w:bCs/>
        </w:rPr>
        <w:t>5.5. Управление рисками</w:t>
      </w:r>
      <w:r w:rsidR="00FF793A" w:rsidRPr="009D0AC6">
        <w:rPr>
          <w:rFonts w:ascii="Times New Roman" w:hAnsi="Times New Roman" w:cs="Times New Roman"/>
          <w:bCs/>
        </w:rPr>
        <w:t xml:space="preserve"> в работе с пациентами</w:t>
      </w:r>
    </w:p>
    <w:p w:rsidR="00C44B6C" w:rsidRPr="009D0AC6" w:rsidRDefault="00C44B6C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</w:p>
    <w:p w:rsidR="0094294A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lang w:val="kk-KZ"/>
        </w:rPr>
      </w:pPr>
      <w:r w:rsidRPr="009D0AC6">
        <w:rPr>
          <w:rFonts w:ascii="Times New Roman" w:hAnsi="Times New Roman" w:cs="Times New Roman"/>
          <w:b/>
          <w:bCs/>
        </w:rPr>
        <w:t xml:space="preserve">РАЗДЕЛ 6. КАДРЫ. КОМПЛЕКСНАЯ СИСТЕМА МОТИВАЦИИ </w:t>
      </w:r>
      <w:r w:rsidR="00FF793A" w:rsidRPr="009D0AC6">
        <w:rPr>
          <w:rFonts w:ascii="Times New Roman" w:hAnsi="Times New Roman" w:cs="Times New Roman"/>
          <w:b/>
          <w:bCs/>
        </w:rPr>
        <w:t>И</w:t>
      </w:r>
      <w:r w:rsidRPr="009D0AC6">
        <w:rPr>
          <w:rFonts w:ascii="Times New Roman" w:hAnsi="Times New Roman" w:cs="Times New Roman"/>
          <w:b/>
          <w:bCs/>
        </w:rPr>
        <w:t xml:space="preserve"> РАЗВИТИЯ ПЕРСОНАЛА</w:t>
      </w: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 xml:space="preserve">6.1. </w:t>
      </w:r>
      <w:r w:rsidR="00E11E2D" w:rsidRPr="009D0AC6">
        <w:rPr>
          <w:rFonts w:ascii="Times New Roman" w:hAnsi="Times New Roman" w:cs="Times New Roman"/>
        </w:rPr>
        <w:t>Основные показатели э</w:t>
      </w:r>
      <w:r w:rsidRPr="009D0AC6">
        <w:rPr>
          <w:rFonts w:ascii="Times New Roman" w:hAnsi="Times New Roman" w:cs="Times New Roman"/>
        </w:rPr>
        <w:t>ффективност</w:t>
      </w:r>
      <w:r w:rsidR="00E11E2D" w:rsidRPr="009D0AC6">
        <w:rPr>
          <w:rFonts w:ascii="Times New Roman" w:hAnsi="Times New Roman" w:cs="Times New Roman"/>
        </w:rPr>
        <w:t>и</w:t>
      </w:r>
      <w:r w:rsidRPr="009D0AC6">
        <w:rPr>
          <w:rFonts w:ascii="Times New Roman" w:hAnsi="Times New Roman" w:cs="Times New Roman"/>
        </w:rPr>
        <w:t xml:space="preserve"> </w:t>
      </w:r>
      <w:r w:rsidRPr="009D0AC6">
        <w:rPr>
          <w:rFonts w:ascii="Times New Roman" w:hAnsi="Times New Roman" w:cs="Times New Roman"/>
          <w:lang w:val="en-US"/>
        </w:rPr>
        <w:t>HR</w:t>
      </w:r>
      <w:r w:rsidRPr="009D0AC6">
        <w:rPr>
          <w:rFonts w:ascii="Times New Roman" w:hAnsi="Times New Roman" w:cs="Times New Roman"/>
        </w:rPr>
        <w:t>-менеджмента</w:t>
      </w:r>
      <w:r w:rsidR="00E11E2D" w:rsidRPr="009D0AC6">
        <w:rPr>
          <w:rFonts w:ascii="Times New Roman" w:hAnsi="Times New Roman" w:cs="Times New Roman"/>
        </w:rPr>
        <w:t xml:space="preserve">: обучение и переподготовка ключевых специалистов, </w:t>
      </w:r>
      <w:r w:rsidR="00F53235" w:rsidRPr="009D0AC6">
        <w:rPr>
          <w:rFonts w:ascii="Times New Roman" w:hAnsi="Times New Roman" w:cs="Times New Roman"/>
        </w:rPr>
        <w:t>текучесть кадров</w:t>
      </w:r>
      <w:r w:rsidR="00D805A5" w:rsidRPr="009D0AC6">
        <w:rPr>
          <w:rFonts w:ascii="Times New Roman" w:hAnsi="Times New Roman" w:cs="Times New Roman"/>
        </w:rPr>
        <w:t xml:space="preserve"> </w:t>
      </w:r>
      <w:r w:rsidR="00E11E2D" w:rsidRPr="009D0AC6">
        <w:rPr>
          <w:rFonts w:ascii="Times New Roman" w:hAnsi="Times New Roman" w:cs="Times New Roman"/>
        </w:rPr>
        <w:t>(</w:t>
      </w:r>
      <w:r w:rsidR="00D805A5" w:rsidRPr="009D0AC6">
        <w:rPr>
          <w:rFonts w:ascii="Times New Roman" w:hAnsi="Times New Roman" w:cs="Times New Roman"/>
        </w:rPr>
        <w:t>по всем категориям</w:t>
      </w:r>
      <w:r w:rsidR="00E11E2D" w:rsidRPr="009D0AC6">
        <w:rPr>
          <w:rFonts w:ascii="Times New Roman" w:hAnsi="Times New Roman" w:cs="Times New Roman"/>
        </w:rPr>
        <w:t>),</w:t>
      </w:r>
      <w:r w:rsidR="00F53235" w:rsidRPr="009D0AC6">
        <w:rPr>
          <w:rFonts w:ascii="Times New Roman" w:hAnsi="Times New Roman" w:cs="Times New Roman"/>
        </w:rPr>
        <w:t xml:space="preserve"> удовлетворенность работников условиями труда</w:t>
      </w: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>6.2</w:t>
      </w:r>
      <w:r w:rsidR="008D7A49" w:rsidRPr="009D0AC6">
        <w:rPr>
          <w:rFonts w:ascii="Times New Roman" w:hAnsi="Times New Roman" w:cs="Times New Roman"/>
        </w:rPr>
        <w:t>.</w:t>
      </w:r>
      <w:r w:rsidRPr="009D0AC6">
        <w:rPr>
          <w:rFonts w:ascii="Times New Roman" w:hAnsi="Times New Roman" w:cs="Times New Roman"/>
        </w:rPr>
        <w:t xml:space="preserve"> Внедрение дифференцированной оплаты труда, в том числе бонусн</w:t>
      </w:r>
      <w:r w:rsidR="00F349FB" w:rsidRPr="009D0AC6">
        <w:rPr>
          <w:rFonts w:ascii="Times New Roman" w:hAnsi="Times New Roman" w:cs="Times New Roman"/>
        </w:rPr>
        <w:t>ой системы</w:t>
      </w:r>
      <w:r w:rsidRPr="009D0AC6">
        <w:rPr>
          <w:rFonts w:ascii="Times New Roman" w:hAnsi="Times New Roman" w:cs="Times New Roman"/>
        </w:rPr>
        <w:t xml:space="preserve"> оплаты</w:t>
      </w:r>
      <w:r w:rsidR="00F349FB" w:rsidRPr="009D0AC6">
        <w:rPr>
          <w:rFonts w:ascii="Times New Roman" w:hAnsi="Times New Roman" w:cs="Times New Roman"/>
        </w:rPr>
        <w:t xml:space="preserve"> труда</w:t>
      </w: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>6.3</w:t>
      </w:r>
      <w:r w:rsidR="008D7A49" w:rsidRPr="009D0AC6">
        <w:rPr>
          <w:rFonts w:ascii="Times New Roman" w:hAnsi="Times New Roman" w:cs="Times New Roman"/>
        </w:rPr>
        <w:t>.</w:t>
      </w:r>
      <w:r w:rsidRPr="009D0AC6">
        <w:rPr>
          <w:rFonts w:ascii="Times New Roman" w:hAnsi="Times New Roman" w:cs="Times New Roman"/>
        </w:rPr>
        <w:t xml:space="preserve"> Нематериальная мотивация, в том числе повышение потенциала</w:t>
      </w:r>
      <w:r w:rsidR="00F26037" w:rsidRPr="009D0AC6">
        <w:rPr>
          <w:rFonts w:ascii="Times New Roman" w:hAnsi="Times New Roman" w:cs="Times New Roman"/>
        </w:rPr>
        <w:t xml:space="preserve"> (</w:t>
      </w:r>
      <w:r w:rsidR="00F53235" w:rsidRPr="009D0AC6">
        <w:rPr>
          <w:rFonts w:ascii="Times New Roman" w:hAnsi="Times New Roman" w:cs="Times New Roman"/>
        </w:rPr>
        <w:t>д</w:t>
      </w:r>
      <w:r w:rsidR="00F26037" w:rsidRPr="009D0AC6">
        <w:rPr>
          <w:rFonts w:ascii="Times New Roman" w:hAnsi="Times New Roman" w:cs="Times New Roman"/>
        </w:rPr>
        <w:t>оля инвестиций в удержание кадров)</w:t>
      </w: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</w:rPr>
        <w:t>6.4</w:t>
      </w:r>
      <w:r w:rsidR="008D7A49" w:rsidRPr="009D0AC6">
        <w:rPr>
          <w:rFonts w:ascii="Times New Roman" w:hAnsi="Times New Roman" w:cs="Times New Roman"/>
        </w:rPr>
        <w:t>.</w:t>
      </w:r>
      <w:r w:rsidRPr="009D0AC6">
        <w:rPr>
          <w:rFonts w:ascii="Times New Roman" w:hAnsi="Times New Roman" w:cs="Times New Roman"/>
        </w:rPr>
        <w:t xml:space="preserve"> Управление рисками</w:t>
      </w:r>
      <w:r w:rsidR="00F349FB" w:rsidRPr="009D0AC6">
        <w:rPr>
          <w:rFonts w:ascii="Times New Roman" w:hAnsi="Times New Roman" w:cs="Times New Roman"/>
        </w:rPr>
        <w:t xml:space="preserve"> в работе с персоналом</w:t>
      </w:r>
    </w:p>
    <w:p w:rsidR="00F349FB" w:rsidRPr="009D0AC6" w:rsidRDefault="00F349FB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/>
          <w:bCs/>
        </w:rPr>
        <w:t>РАЗДЕЛ 7. ЭФФЕКТИВНОЕ ИСПОЛЬЗОВАНИЕ РЕСУРСОВ ОРГАНИЗАЦИИ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 xml:space="preserve">7.1. </w:t>
      </w:r>
      <w:proofErr w:type="gramStart"/>
      <w:r w:rsidRPr="009D0AC6">
        <w:rPr>
          <w:rFonts w:ascii="Times New Roman" w:hAnsi="Times New Roman" w:cs="Times New Roman"/>
          <w:bCs/>
          <w:iCs/>
        </w:rPr>
        <w:t xml:space="preserve">Аккредитация клиники, лабораторной службы, профильных служб (национальная  </w:t>
      </w:r>
      <w:proofErr w:type="gramEnd"/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  <w:bCs/>
          <w:iCs/>
        </w:rPr>
        <w:t>и/или международная)</w:t>
      </w:r>
    </w:p>
    <w:p w:rsidR="007C596D" w:rsidRPr="009D0AC6" w:rsidRDefault="007C596D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D0AC6">
        <w:rPr>
          <w:rFonts w:ascii="Times New Roman" w:hAnsi="Times New Roman" w:cs="Times New Roman"/>
          <w:bCs/>
          <w:iCs/>
        </w:rPr>
        <w:t xml:space="preserve">7.2. Управление структурой </w:t>
      </w:r>
      <w:r w:rsidR="00F349FB" w:rsidRPr="009D0AC6">
        <w:rPr>
          <w:rFonts w:ascii="Times New Roman" w:hAnsi="Times New Roman" w:cs="Times New Roman"/>
          <w:bCs/>
          <w:iCs/>
        </w:rPr>
        <w:t>пациентов</w:t>
      </w:r>
      <w:r w:rsidRPr="009D0AC6">
        <w:rPr>
          <w:rFonts w:ascii="Times New Roman" w:hAnsi="Times New Roman" w:cs="Times New Roman"/>
          <w:bCs/>
          <w:iCs/>
        </w:rPr>
        <w:t xml:space="preserve"> (ранжирование по весовым коэффициентам, развитие </w:t>
      </w:r>
      <w:proofErr w:type="spellStart"/>
      <w:r w:rsidRPr="009D0AC6">
        <w:rPr>
          <w:rFonts w:ascii="Times New Roman" w:hAnsi="Times New Roman" w:cs="Times New Roman"/>
          <w:bCs/>
          <w:iCs/>
        </w:rPr>
        <w:t>стационар</w:t>
      </w:r>
      <w:r w:rsidR="00F06F3A" w:rsidRPr="009D0AC6">
        <w:rPr>
          <w:rFonts w:ascii="Times New Roman" w:hAnsi="Times New Roman" w:cs="Times New Roman"/>
          <w:bCs/>
          <w:iCs/>
        </w:rPr>
        <w:t>о</w:t>
      </w:r>
      <w:r w:rsidRPr="009D0AC6">
        <w:rPr>
          <w:rFonts w:ascii="Times New Roman" w:hAnsi="Times New Roman" w:cs="Times New Roman"/>
          <w:bCs/>
          <w:iCs/>
        </w:rPr>
        <w:t>замещающих</w:t>
      </w:r>
      <w:bookmarkStart w:id="0" w:name="_GoBack"/>
      <w:bookmarkEnd w:id="0"/>
      <w:proofErr w:type="spellEnd"/>
      <w:r w:rsidRPr="009D0AC6">
        <w:rPr>
          <w:rFonts w:ascii="Times New Roman" w:hAnsi="Times New Roman" w:cs="Times New Roman"/>
          <w:bCs/>
          <w:iCs/>
        </w:rPr>
        <w:t xml:space="preserve"> технологий)</w:t>
      </w:r>
    </w:p>
    <w:p w:rsidR="007C596D" w:rsidRPr="009D0AC6" w:rsidRDefault="007C596D" w:rsidP="00263136">
      <w:pPr>
        <w:pStyle w:val="a4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 xml:space="preserve">7.3. </w:t>
      </w:r>
      <w:r w:rsidRPr="009D0AC6">
        <w:rPr>
          <w:rFonts w:ascii="Times New Roman" w:hAnsi="Times New Roman" w:cs="Times New Roman"/>
        </w:rPr>
        <w:t>Управление лекарственными препаратами, медицинскими изделиями.</w:t>
      </w:r>
    </w:p>
    <w:p w:rsidR="007C596D" w:rsidRPr="009D0AC6" w:rsidRDefault="0027055C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9D0AC6">
        <w:rPr>
          <w:rFonts w:ascii="Times New Roman" w:hAnsi="Times New Roman" w:cs="Times New Roman"/>
          <w:bCs/>
          <w:iCs/>
        </w:rPr>
        <w:t>7.4</w:t>
      </w:r>
      <w:r w:rsidR="007C596D" w:rsidRPr="009D0AC6">
        <w:rPr>
          <w:rFonts w:ascii="Times New Roman" w:hAnsi="Times New Roman" w:cs="Times New Roman"/>
          <w:bCs/>
          <w:iCs/>
        </w:rPr>
        <w:t>. Новые технологии, патенты, научные и клинические исследования.</w:t>
      </w:r>
    </w:p>
    <w:p w:rsidR="007C596D" w:rsidRPr="009D0AC6" w:rsidRDefault="007C596D" w:rsidP="002631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596D" w:rsidRPr="009D0AC6" w:rsidRDefault="007C596D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AC6">
        <w:rPr>
          <w:rFonts w:ascii="Times New Roman" w:hAnsi="Times New Roman" w:cs="Times New Roman"/>
          <w:b/>
          <w:lang w:val="kk-KZ"/>
        </w:rPr>
        <w:t>ПРИЛОЖЕНИЯ</w:t>
      </w:r>
    </w:p>
    <w:p w:rsidR="0094294A" w:rsidRDefault="0094294A" w:rsidP="002631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highlight w:val="yellow"/>
          <w:lang w:val="kk-KZ"/>
        </w:rPr>
      </w:pPr>
    </w:p>
    <w:p w:rsidR="009D0AC6" w:rsidRDefault="009D0AC6" w:rsidP="002631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highlight w:val="yellow"/>
          <w:lang w:val="kk-KZ"/>
        </w:rPr>
      </w:pPr>
    </w:p>
    <w:p w:rsidR="00263136" w:rsidRPr="009D0AC6" w:rsidRDefault="00745561" w:rsidP="009D0AC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yellow"/>
        </w:rPr>
      </w:pPr>
      <w:r w:rsidRPr="009D0AC6">
        <w:rPr>
          <w:rFonts w:ascii="Times New Roman" w:hAnsi="Times New Roman" w:cs="Times New Roman"/>
          <w:bCs/>
          <w:i/>
        </w:rPr>
        <w:t xml:space="preserve">* </w:t>
      </w:r>
      <w:r w:rsidR="009351BB" w:rsidRPr="009D0AC6">
        <w:rPr>
          <w:rFonts w:ascii="Times New Roman" w:hAnsi="Times New Roman" w:cs="Times New Roman"/>
          <w:bCs/>
          <w:i/>
        </w:rPr>
        <w:t xml:space="preserve">далее </w:t>
      </w:r>
      <w:r w:rsidR="00C6651E" w:rsidRPr="009D0AC6">
        <w:rPr>
          <w:rFonts w:ascii="Times New Roman" w:hAnsi="Times New Roman" w:cs="Times New Roman"/>
          <w:bCs/>
          <w:i/>
        </w:rPr>
        <w:t>в разделах курсивом приведен</w:t>
      </w:r>
      <w:r w:rsidR="009351BB" w:rsidRPr="009D0AC6">
        <w:rPr>
          <w:rFonts w:ascii="Times New Roman" w:hAnsi="Times New Roman" w:cs="Times New Roman"/>
          <w:bCs/>
          <w:i/>
        </w:rPr>
        <w:t>ы</w:t>
      </w:r>
      <w:r w:rsidR="00C6651E" w:rsidRPr="009D0AC6">
        <w:rPr>
          <w:rFonts w:ascii="Times New Roman" w:hAnsi="Times New Roman" w:cs="Times New Roman"/>
          <w:bCs/>
          <w:i/>
        </w:rPr>
        <w:t xml:space="preserve"> пример</w:t>
      </w:r>
      <w:r w:rsidR="009351BB" w:rsidRPr="009D0AC6">
        <w:rPr>
          <w:rFonts w:ascii="Times New Roman" w:hAnsi="Times New Roman" w:cs="Times New Roman"/>
          <w:bCs/>
          <w:i/>
        </w:rPr>
        <w:t>ы</w:t>
      </w:r>
      <w:r w:rsidR="00263136" w:rsidRPr="009D0AC6">
        <w:rPr>
          <w:rFonts w:ascii="Times New Roman" w:hAnsi="Times New Roman" w:cs="Times New Roman"/>
          <w:bCs/>
          <w:i/>
        </w:rPr>
        <w:t xml:space="preserve"> заполнения</w:t>
      </w:r>
      <w:r w:rsidR="009D0AC6">
        <w:rPr>
          <w:rFonts w:ascii="Times New Roman" w:hAnsi="Times New Roman" w:cs="Times New Roman"/>
          <w:bCs/>
          <w:i/>
        </w:rPr>
        <w:t>.</w:t>
      </w:r>
      <w:r w:rsidR="00263136" w:rsidRPr="009D0AC6">
        <w:rPr>
          <w:rFonts w:ascii="Times New Roman" w:hAnsi="Times New Roman" w:cs="Times New Roman"/>
          <w:bCs/>
          <w:highlight w:val="yellow"/>
        </w:rPr>
        <w:br w:type="page"/>
      </w:r>
    </w:p>
    <w:p w:rsidR="00ED4675" w:rsidRPr="00263136" w:rsidRDefault="00261C8B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  <w:r w:rsidR="00ED4675" w:rsidRPr="00263136">
        <w:rPr>
          <w:rFonts w:ascii="Times New Roman" w:hAnsi="Times New Roman" w:cs="Times New Roman"/>
          <w:b/>
          <w:bCs/>
          <w:sz w:val="24"/>
          <w:szCs w:val="24"/>
        </w:rPr>
        <w:t xml:space="preserve"> О ПРЕДПРИЯТИИ</w:t>
      </w:r>
    </w:p>
    <w:p w:rsidR="00E71B67" w:rsidRPr="00263136" w:rsidRDefault="00E71B67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B67" w:rsidRPr="00263136" w:rsidRDefault="00E71B67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36">
        <w:rPr>
          <w:rFonts w:ascii="Times New Roman" w:hAnsi="Times New Roman" w:cs="Times New Roman"/>
          <w:b/>
          <w:sz w:val="24"/>
          <w:szCs w:val="24"/>
        </w:rPr>
        <w:t>1.1 Краткое описание организации и предоставляемых медицинских услуг (миссия, видение)</w:t>
      </w:r>
    </w:p>
    <w:p w:rsidR="00E71B67" w:rsidRPr="00263136" w:rsidRDefault="00E71B67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67" w:rsidRPr="00263136" w:rsidRDefault="00630CA8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>Организация</w:t>
      </w:r>
      <w:r w:rsidR="00E71B67" w:rsidRPr="00263136">
        <w:rPr>
          <w:i/>
        </w:rPr>
        <w:t xml:space="preserve"> является клиникой в центрально-азиатском регионе, которая соответствует мировым стандартам качества медицинского обслуживания. В преимущества </w:t>
      </w:r>
      <w:r w:rsidRPr="00263136">
        <w:rPr>
          <w:i/>
        </w:rPr>
        <w:t>Организации</w:t>
      </w:r>
      <w:r w:rsidR="00E71B67" w:rsidRPr="00263136">
        <w:rPr>
          <w:i/>
        </w:rPr>
        <w:t xml:space="preserve"> входят: мощный кадровый потенциал, эффективное корпоративное</w:t>
      </w:r>
      <w:r w:rsidR="008A41D7" w:rsidRPr="00263136">
        <w:rPr>
          <w:i/>
        </w:rPr>
        <w:t xml:space="preserve">, </w:t>
      </w:r>
      <w:proofErr w:type="spellStart"/>
      <w:proofErr w:type="gramStart"/>
      <w:r w:rsidR="008A41D7" w:rsidRPr="00263136">
        <w:rPr>
          <w:i/>
        </w:rPr>
        <w:t>пациент-ор</w:t>
      </w:r>
      <w:r w:rsidR="00583984" w:rsidRPr="00263136">
        <w:rPr>
          <w:i/>
        </w:rPr>
        <w:t>и</w:t>
      </w:r>
      <w:r w:rsidR="008A41D7" w:rsidRPr="00263136">
        <w:rPr>
          <w:i/>
        </w:rPr>
        <w:t>ентированное</w:t>
      </w:r>
      <w:proofErr w:type="spellEnd"/>
      <w:proofErr w:type="gramEnd"/>
      <w:r w:rsidR="00E71B67" w:rsidRPr="00263136">
        <w:rPr>
          <w:i/>
        </w:rPr>
        <w:t xml:space="preserve"> и </w:t>
      </w:r>
      <w:proofErr w:type="spellStart"/>
      <w:r w:rsidR="00E71B67" w:rsidRPr="00263136">
        <w:rPr>
          <w:i/>
        </w:rPr>
        <w:t>бизнес-ориентированное</w:t>
      </w:r>
      <w:proofErr w:type="spellEnd"/>
      <w:r w:rsidR="00E71B67" w:rsidRPr="00263136">
        <w:rPr>
          <w:i/>
        </w:rPr>
        <w:t xml:space="preserve"> управление, а наша научно-образовательная деятельность признана на отечественном и международном уровне</w:t>
      </w:r>
      <w:r w:rsidR="00256977" w:rsidRPr="00263136">
        <w:rPr>
          <w:i/>
        </w:rPr>
        <w:t>…</w:t>
      </w:r>
    </w:p>
    <w:p w:rsidR="008A41D7" w:rsidRPr="00263136" w:rsidRDefault="008A41D7" w:rsidP="00263136">
      <w:pPr>
        <w:pStyle w:val="Default"/>
        <w:widowControl w:val="0"/>
        <w:tabs>
          <w:tab w:val="left" w:pos="851"/>
        </w:tabs>
        <w:ind w:firstLine="709"/>
        <w:jc w:val="both"/>
      </w:pPr>
    </w:p>
    <w:p w:rsidR="00E71B67" w:rsidRPr="00263136" w:rsidRDefault="00263136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b/>
        </w:rPr>
      </w:pPr>
      <w:r w:rsidRPr="00263136">
        <w:rPr>
          <w:b/>
        </w:rPr>
        <w:t>Миссия</w:t>
      </w:r>
    </w:p>
    <w:p w:rsidR="00E71B67" w:rsidRPr="00263136" w:rsidRDefault="00E71B67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>Улучшая здоровье пациентов, мы способствуем увеличению ожидаемой прод</w:t>
      </w:r>
      <w:r w:rsidR="007C063E" w:rsidRPr="00263136">
        <w:rPr>
          <w:i/>
        </w:rPr>
        <w:t xml:space="preserve">олжительности жизни населения. </w:t>
      </w:r>
    </w:p>
    <w:p w:rsidR="00E71B67" w:rsidRPr="00263136" w:rsidRDefault="00263136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b/>
        </w:rPr>
      </w:pPr>
      <w:r w:rsidRPr="00263136">
        <w:rPr>
          <w:b/>
        </w:rPr>
        <w:t>Видение</w:t>
      </w:r>
    </w:p>
    <w:p w:rsidR="00E71B67" w:rsidRPr="00263136" w:rsidRDefault="00E71B67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  <w:color w:val="auto"/>
        </w:rPr>
        <w:t>Ведущ</w:t>
      </w:r>
      <w:r w:rsidR="00630CA8" w:rsidRPr="00263136">
        <w:rPr>
          <w:i/>
          <w:color w:val="auto"/>
        </w:rPr>
        <w:t>ая организация здравоохранения</w:t>
      </w:r>
      <w:r w:rsidRPr="00263136">
        <w:rPr>
          <w:i/>
          <w:color w:val="auto"/>
        </w:rPr>
        <w:t xml:space="preserve"> </w:t>
      </w:r>
      <w:r w:rsidRPr="00263136">
        <w:rPr>
          <w:i/>
        </w:rPr>
        <w:t xml:space="preserve">в центрально-азиатском регионе, </w:t>
      </w:r>
      <w:proofErr w:type="gramStart"/>
      <w:r w:rsidRPr="00263136">
        <w:rPr>
          <w:i/>
        </w:rPr>
        <w:t>осуществляющий</w:t>
      </w:r>
      <w:proofErr w:type="gramEnd"/>
      <w:r w:rsidRPr="00263136">
        <w:rPr>
          <w:i/>
        </w:rPr>
        <w:t xml:space="preserve"> свою деятельность в соответствии с международными стандартами качества и безопасности пациентов на основе интеграции практики, науки, образов</w:t>
      </w:r>
      <w:r w:rsidR="007C063E" w:rsidRPr="00263136">
        <w:rPr>
          <w:i/>
        </w:rPr>
        <w:t xml:space="preserve">ания и инновационных подходов. </w:t>
      </w:r>
    </w:p>
    <w:p w:rsidR="00E71B67" w:rsidRPr="00263136" w:rsidRDefault="00E71B67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67" w:rsidRPr="00263136" w:rsidRDefault="008D26B2" w:rsidP="002631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Pr="002631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7C063E" w:rsidRPr="00263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цифрах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пролеченных пациентов: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5421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проведенных операций: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6547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Доля внедренных международных стандартов: 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95% 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>Снижение</w:t>
      </w:r>
      <w:r w:rsidR="008E4F72"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внутрибольничных инфекций</w:t>
      </w:r>
      <w:r w:rsidR="008D26B2"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ВБИ с 0,8% в 2016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 до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0,3% в 2017</w:t>
      </w:r>
      <w:r w:rsid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году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>Уровень использования коечного фонда</w:t>
      </w:r>
      <w:r w:rsidR="00583984" w:rsidRPr="0026313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100%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Проведено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37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мастер-классов, 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 них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13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мастер-классов 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участием зарубежных специалистов 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Завершено 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2 </w:t>
      </w:r>
      <w:proofErr w:type="gramStart"/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научных</w:t>
      </w:r>
      <w:proofErr w:type="gramEnd"/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исследования 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Пролечено 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45 иностранных 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пациентов 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Всего </w:t>
      </w:r>
      <w:proofErr w:type="gramStart"/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>на конец</w:t>
      </w:r>
      <w:proofErr w:type="gramEnd"/>
      <w:r w:rsidR="008D26B2"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2017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 количество 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сотрудников –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786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из которых: </w:t>
      </w:r>
    </w:p>
    <w:p w:rsidR="00E71B67" w:rsidRPr="00263136" w:rsidRDefault="008D26B2" w:rsidP="00263136">
      <w:pPr>
        <w:pStyle w:val="a4"/>
        <w:widowControl w:val="0"/>
        <w:numPr>
          <w:ilvl w:val="1"/>
          <w:numId w:val="18"/>
        </w:numPr>
        <w:tabs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>Медицинский персонал – 574 (118 врачей, 256 СМП, 200</w:t>
      </w:r>
      <w:r w:rsidR="00E71B67"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ММП) </w:t>
      </w:r>
    </w:p>
    <w:p w:rsidR="00E71B67" w:rsidRPr="00263136" w:rsidRDefault="00E71B67" w:rsidP="00263136">
      <w:pPr>
        <w:pStyle w:val="a4"/>
        <w:widowControl w:val="0"/>
        <w:numPr>
          <w:ilvl w:val="1"/>
          <w:numId w:val="18"/>
        </w:numPr>
        <w:tabs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>Административно-управленческий перс</w:t>
      </w:r>
      <w:r w:rsidR="008D26B2" w:rsidRPr="00263136">
        <w:rPr>
          <w:rFonts w:ascii="Times New Roman" w:hAnsi="Times New Roman" w:cs="Times New Roman"/>
          <w:i/>
          <w:color w:val="000000"/>
          <w:sz w:val="24"/>
          <w:szCs w:val="24"/>
        </w:rPr>
        <w:t>онал – 98, СХО – 96, прочие – 18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>Снижение те</w:t>
      </w:r>
      <w:r w:rsidR="008D26B2" w:rsidRPr="00263136">
        <w:rPr>
          <w:rFonts w:ascii="Times New Roman" w:hAnsi="Times New Roman" w:cs="Times New Roman"/>
          <w:i/>
          <w:color w:val="000000"/>
          <w:sz w:val="24"/>
          <w:szCs w:val="24"/>
        </w:rPr>
        <w:t>кучести персонала с 25% в 201</w:t>
      </w:r>
      <w:r w:rsidR="00583984" w:rsidRPr="00263136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году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 18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%</w:t>
      </w:r>
      <w:r w:rsidR="00583984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 2017 году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E71B67" w:rsidRPr="00263136" w:rsidRDefault="00E71B67" w:rsidP="00263136">
      <w:pPr>
        <w:pStyle w:val="a4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Выручка от оказания услуг: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845 254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тыс. тенге, </w:t>
      </w:r>
      <w:r w:rsidRPr="002631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прибыль за год: </w:t>
      </w:r>
      <w:r w:rsidR="008D26B2"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254 154</w:t>
      </w:r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тыс. </w:t>
      </w:r>
      <w:proofErr w:type="spellStart"/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тг</w:t>
      </w:r>
      <w:proofErr w:type="spellEnd"/>
      <w:r w:rsidRPr="002631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</w:p>
    <w:p w:rsidR="00E71B67" w:rsidRPr="00263136" w:rsidRDefault="00E71B67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C8" w:rsidRPr="00263136" w:rsidRDefault="00E71B67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36">
        <w:rPr>
          <w:rFonts w:ascii="Times New Roman" w:hAnsi="Times New Roman" w:cs="Times New Roman"/>
          <w:b/>
          <w:sz w:val="24"/>
          <w:szCs w:val="24"/>
        </w:rPr>
        <w:t>1.2 Стратегия развития (стратегические цели)</w:t>
      </w:r>
    </w:p>
    <w:p w:rsidR="00E71B67" w:rsidRPr="00263136" w:rsidRDefault="00263136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>
        <w:rPr>
          <w:i/>
        </w:rPr>
        <w:t>Организация</w:t>
      </w:r>
      <w:r w:rsidR="00416791" w:rsidRPr="00263136">
        <w:rPr>
          <w:i/>
        </w:rPr>
        <w:t xml:space="preserve"> работает по 4 стратегическим</w:t>
      </w:r>
      <w:r w:rsidR="00E71B67" w:rsidRPr="00263136">
        <w:rPr>
          <w:i/>
        </w:rPr>
        <w:t xml:space="preserve"> направления</w:t>
      </w:r>
      <w:r w:rsidR="00416791" w:rsidRPr="00263136">
        <w:rPr>
          <w:i/>
        </w:rPr>
        <w:t>м</w:t>
      </w:r>
      <w:r w:rsidR="00096EC8" w:rsidRPr="00263136">
        <w:rPr>
          <w:i/>
        </w:rPr>
        <w:t>:</w:t>
      </w:r>
    </w:p>
    <w:p w:rsidR="00E71B67" w:rsidRPr="00263136" w:rsidRDefault="00E71B67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 xml:space="preserve">1. Улучшение доступности качественных медицинских услуг </w:t>
      </w:r>
    </w:p>
    <w:p w:rsidR="00416791" w:rsidRPr="00263136" w:rsidRDefault="00416791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>Цель</w:t>
      </w:r>
      <w:r w:rsidR="007500D4" w:rsidRPr="00263136">
        <w:rPr>
          <w:i/>
        </w:rPr>
        <w:t xml:space="preserve"> 1</w:t>
      </w:r>
      <w:r w:rsidRPr="00263136">
        <w:rPr>
          <w:i/>
        </w:rPr>
        <w:t xml:space="preserve">: Создание </w:t>
      </w:r>
      <w:proofErr w:type="spellStart"/>
      <w:proofErr w:type="gramStart"/>
      <w:r w:rsidRPr="00263136">
        <w:rPr>
          <w:i/>
        </w:rPr>
        <w:t>пациент-ориентированной</w:t>
      </w:r>
      <w:proofErr w:type="spellEnd"/>
      <w:proofErr w:type="gramEnd"/>
      <w:r w:rsidRPr="00263136">
        <w:rPr>
          <w:i/>
        </w:rPr>
        <w:t xml:space="preserve"> системы оказания медицинской помощи.</w:t>
      </w:r>
    </w:p>
    <w:p w:rsidR="00416791" w:rsidRPr="00263136" w:rsidRDefault="00416791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>Цель</w:t>
      </w:r>
      <w:r w:rsidR="007500D4" w:rsidRPr="00263136">
        <w:rPr>
          <w:i/>
        </w:rPr>
        <w:t xml:space="preserve"> 2</w:t>
      </w:r>
      <w:r w:rsidRPr="00263136">
        <w:rPr>
          <w:i/>
        </w:rPr>
        <w:t>: Эффективный больничный менеджмент.</w:t>
      </w:r>
    </w:p>
    <w:p w:rsidR="00E71B67" w:rsidRPr="00263136" w:rsidRDefault="00E71B67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 xml:space="preserve">2. Повышение эффективности системы здравоохранения </w:t>
      </w:r>
    </w:p>
    <w:p w:rsidR="00416791" w:rsidRPr="00263136" w:rsidRDefault="00416791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  <w:lang w:val="kk-KZ"/>
        </w:rPr>
      </w:pPr>
      <w:r w:rsidRPr="00263136">
        <w:rPr>
          <w:i/>
        </w:rPr>
        <w:t xml:space="preserve">Цель: </w:t>
      </w:r>
      <w:r w:rsidRPr="00263136">
        <w:rPr>
          <w:i/>
          <w:lang w:val="kk-KZ"/>
        </w:rPr>
        <w:t>Становление ведущим поставщиком медицинских услуг в Казахстане, а также в Центральной Азии.</w:t>
      </w:r>
    </w:p>
    <w:p w:rsidR="00E71B67" w:rsidRPr="00263136" w:rsidRDefault="00E71B67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>3. Развитие кадрового потенциала и науки в сфере здравоохранения</w:t>
      </w:r>
    </w:p>
    <w:p w:rsidR="00416791" w:rsidRPr="00263136" w:rsidRDefault="00416791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>Цель</w:t>
      </w:r>
      <w:r w:rsidR="007500D4" w:rsidRPr="00263136">
        <w:rPr>
          <w:i/>
        </w:rPr>
        <w:t xml:space="preserve"> 1</w:t>
      </w:r>
      <w:r w:rsidRPr="00263136">
        <w:rPr>
          <w:i/>
        </w:rPr>
        <w:t>: Формирование пула из высококвалифицированных кадров, подготовленных к научно-образовательной деятельности по международным стандартам.</w:t>
      </w:r>
    </w:p>
    <w:p w:rsidR="00416791" w:rsidRPr="00263136" w:rsidRDefault="00416791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  <w:lang w:val="kk-KZ"/>
        </w:rPr>
      </w:pPr>
      <w:r w:rsidRPr="00263136">
        <w:rPr>
          <w:i/>
          <w:lang w:val="kk-KZ"/>
        </w:rPr>
        <w:t>Цель</w:t>
      </w:r>
      <w:r w:rsidR="007500D4" w:rsidRPr="00263136">
        <w:rPr>
          <w:i/>
          <w:lang w:val="kk-KZ"/>
        </w:rPr>
        <w:t xml:space="preserve"> 2</w:t>
      </w:r>
      <w:r w:rsidRPr="00263136">
        <w:rPr>
          <w:i/>
          <w:lang w:val="kk-KZ"/>
        </w:rPr>
        <w:t>: Научно-инновационная деятельность, конкурентоспособная на международном уровне.</w:t>
      </w:r>
    </w:p>
    <w:p w:rsidR="00F52201" w:rsidRPr="00263136" w:rsidRDefault="00F52201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</w:rPr>
      </w:pPr>
      <w:r w:rsidRPr="00263136">
        <w:rPr>
          <w:i/>
        </w:rPr>
        <w:t xml:space="preserve">4. </w:t>
      </w:r>
      <w:r w:rsidR="00416791" w:rsidRPr="00263136">
        <w:rPr>
          <w:i/>
        </w:rPr>
        <w:t xml:space="preserve">Финансовая устойчивость предприятия </w:t>
      </w:r>
    </w:p>
    <w:p w:rsidR="00416791" w:rsidRPr="00263136" w:rsidRDefault="00416791" w:rsidP="00263136">
      <w:pPr>
        <w:pStyle w:val="Default"/>
        <w:widowControl w:val="0"/>
        <w:tabs>
          <w:tab w:val="left" w:pos="851"/>
        </w:tabs>
        <w:ind w:firstLine="709"/>
        <w:jc w:val="both"/>
        <w:rPr>
          <w:i/>
          <w:lang w:val="kk-KZ"/>
        </w:rPr>
      </w:pPr>
      <w:r w:rsidRPr="00263136">
        <w:rPr>
          <w:i/>
          <w:lang w:val="kk-KZ"/>
        </w:rPr>
        <w:t>Цель</w:t>
      </w:r>
      <w:r w:rsidR="007500D4" w:rsidRPr="00263136">
        <w:rPr>
          <w:i/>
          <w:lang w:val="kk-KZ"/>
        </w:rPr>
        <w:t xml:space="preserve"> 1</w:t>
      </w:r>
      <w:r w:rsidRPr="00263136">
        <w:rPr>
          <w:i/>
          <w:lang w:val="kk-KZ"/>
        </w:rPr>
        <w:t>: Адекватное финансирование деятельности, повышение доходности.</w:t>
      </w:r>
    </w:p>
    <w:p w:rsidR="00D00A45" w:rsidRPr="00263136" w:rsidRDefault="00416791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lastRenderedPageBreak/>
        <w:t>Цель</w:t>
      </w:r>
      <w:r w:rsidR="007500D4" w:rsidRPr="00263136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263136">
        <w:rPr>
          <w:rFonts w:ascii="Times New Roman" w:hAnsi="Times New Roman" w:cs="Times New Roman"/>
          <w:i/>
          <w:sz w:val="24"/>
          <w:szCs w:val="24"/>
        </w:rPr>
        <w:t>: Обеспечение трансферта технологий в систему здравоохранения Республики Казахстан.</w:t>
      </w:r>
    </w:p>
    <w:p w:rsidR="00F032B0" w:rsidRPr="00263136" w:rsidRDefault="00F032B0" w:rsidP="0026313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00A45" w:rsidRPr="00263136" w:rsidRDefault="005D5732" w:rsidP="0026313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136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="00E71B67" w:rsidRPr="00263136">
        <w:rPr>
          <w:rFonts w:ascii="Times New Roman" w:hAnsi="Times New Roman" w:cs="Times New Roman"/>
          <w:b/>
          <w:bCs/>
          <w:sz w:val="24"/>
          <w:szCs w:val="24"/>
        </w:rPr>
        <w:t>ДЕЛ 2. КОРПОРАТИВНОЕ УПРАВЛЕНИЕ</w:t>
      </w:r>
    </w:p>
    <w:p w:rsidR="00E71B67" w:rsidRPr="00263136" w:rsidRDefault="00E71B67" w:rsidP="002631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67" w:rsidRPr="00263136" w:rsidRDefault="00E71B67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36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263136">
        <w:rPr>
          <w:rFonts w:ascii="Times New Roman" w:hAnsi="Times New Roman" w:cs="Times New Roman"/>
          <w:b/>
          <w:sz w:val="24"/>
          <w:szCs w:val="24"/>
        </w:rPr>
        <w:t>Структура корпоративного управления, состав наблюдательного совета/совета</w:t>
      </w:r>
      <w:r w:rsidR="007C063E" w:rsidRPr="0026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136">
        <w:rPr>
          <w:rFonts w:ascii="Times New Roman" w:hAnsi="Times New Roman" w:cs="Times New Roman"/>
          <w:b/>
          <w:sz w:val="24"/>
          <w:szCs w:val="24"/>
        </w:rPr>
        <w:t xml:space="preserve">директоров </w:t>
      </w:r>
      <w:r w:rsidRPr="00263136">
        <w:rPr>
          <w:rFonts w:ascii="Times New Roman" w:hAnsi="Times New Roman" w:cs="Times New Roman"/>
          <w:b/>
          <w:i/>
          <w:sz w:val="24"/>
          <w:szCs w:val="24"/>
        </w:rPr>
        <w:t>(для организации с корпоративным управлением)</w:t>
      </w:r>
    </w:p>
    <w:p w:rsidR="0027055C" w:rsidRPr="00263136" w:rsidRDefault="0027055C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Приказом Министерства здравоохранения РК № 547 от 05.07.2015 г. и № 654 от 05.07.2015 года избран Совет директоров в следующем составе:</w:t>
      </w:r>
    </w:p>
    <w:p w:rsidR="0027055C" w:rsidRPr="00263136" w:rsidRDefault="0027055C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Председатель Совета директо</w:t>
      </w:r>
      <w:r w:rsidR="00735613" w:rsidRPr="00263136">
        <w:rPr>
          <w:rFonts w:ascii="Times New Roman" w:hAnsi="Times New Roman" w:cs="Times New Roman"/>
          <w:i/>
          <w:sz w:val="24"/>
          <w:szCs w:val="24"/>
        </w:rPr>
        <w:t>ров - ___________________</w:t>
      </w:r>
    </w:p>
    <w:p w:rsidR="0027055C" w:rsidRPr="00263136" w:rsidRDefault="0027055C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член Совета директоров</w:t>
      </w:r>
      <w:r w:rsidR="00735613" w:rsidRPr="00263136">
        <w:rPr>
          <w:rFonts w:ascii="Times New Roman" w:hAnsi="Times New Roman" w:cs="Times New Roman"/>
          <w:i/>
          <w:sz w:val="24"/>
          <w:szCs w:val="24"/>
        </w:rPr>
        <w:t xml:space="preserve"> -  ___________________</w:t>
      </w:r>
    </w:p>
    <w:p w:rsidR="0027055C" w:rsidRPr="00263136" w:rsidRDefault="0027055C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член Совета директоров</w:t>
      </w:r>
      <w:r w:rsidR="00735613" w:rsidRPr="00263136">
        <w:rPr>
          <w:rFonts w:ascii="Times New Roman" w:hAnsi="Times New Roman" w:cs="Times New Roman"/>
          <w:i/>
          <w:sz w:val="24"/>
          <w:szCs w:val="24"/>
        </w:rPr>
        <w:t xml:space="preserve"> - ___________________</w:t>
      </w:r>
    </w:p>
    <w:p w:rsidR="00735613" w:rsidRPr="00263136" w:rsidRDefault="00735613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секретарь - ___________________</w:t>
      </w:r>
    </w:p>
    <w:p w:rsidR="00E71B67" w:rsidRPr="00263136" w:rsidRDefault="00E71B67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1B67" w:rsidRPr="00263136" w:rsidRDefault="00E71B67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36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263136">
        <w:rPr>
          <w:rFonts w:ascii="Times New Roman" w:hAnsi="Times New Roman" w:cs="Times New Roman"/>
          <w:b/>
          <w:sz w:val="24"/>
          <w:szCs w:val="24"/>
        </w:rPr>
        <w:t>Состав и деятельность Службы внутреннего аудита</w:t>
      </w:r>
    </w:p>
    <w:p w:rsidR="00735613" w:rsidRPr="00263136" w:rsidRDefault="00735613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 xml:space="preserve">Служба внутреннего аудита (СВА) - структурное подразделение </w:t>
      </w:r>
      <w:r w:rsidR="001715FE"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263136">
        <w:rPr>
          <w:rFonts w:ascii="Times New Roman" w:hAnsi="Times New Roman" w:cs="Times New Roman"/>
          <w:i/>
          <w:sz w:val="24"/>
          <w:szCs w:val="24"/>
        </w:rPr>
        <w:t>, осуществляющ</w:t>
      </w:r>
      <w:r w:rsidR="00583984" w:rsidRPr="00263136">
        <w:rPr>
          <w:rFonts w:ascii="Times New Roman" w:hAnsi="Times New Roman" w:cs="Times New Roman"/>
          <w:i/>
          <w:sz w:val="24"/>
          <w:szCs w:val="24"/>
        </w:rPr>
        <w:t>ее</w:t>
      </w:r>
      <w:r w:rsidRPr="00263136">
        <w:rPr>
          <w:rFonts w:ascii="Times New Roman" w:hAnsi="Times New Roman" w:cs="Times New Roman"/>
          <w:i/>
          <w:sz w:val="24"/>
          <w:szCs w:val="24"/>
        </w:rPr>
        <w:t xml:space="preserve"> деятельность по управлению качеством медицинской помощи на уровне медицинской организации и наделенн</w:t>
      </w:r>
      <w:r w:rsidR="00583984" w:rsidRPr="00263136">
        <w:rPr>
          <w:rFonts w:ascii="Times New Roman" w:hAnsi="Times New Roman" w:cs="Times New Roman"/>
          <w:i/>
          <w:sz w:val="24"/>
          <w:szCs w:val="24"/>
        </w:rPr>
        <w:t>ое</w:t>
      </w:r>
      <w:r w:rsidRPr="00263136">
        <w:rPr>
          <w:rFonts w:ascii="Times New Roman" w:hAnsi="Times New Roman" w:cs="Times New Roman"/>
          <w:i/>
          <w:sz w:val="24"/>
          <w:szCs w:val="24"/>
        </w:rPr>
        <w:t xml:space="preserve"> соответствующими полномочиями в соответствии с утвержденной должностной инструкцией и Положением о Службе внутреннего аудита</w:t>
      </w:r>
    </w:p>
    <w:p w:rsidR="00735613" w:rsidRPr="00263136" w:rsidRDefault="00735613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5613" w:rsidRPr="00263136" w:rsidRDefault="00735613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Руководитель СВА - ___________________</w:t>
      </w:r>
    </w:p>
    <w:p w:rsidR="00735613" w:rsidRPr="00263136" w:rsidRDefault="00735613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1B67" w:rsidRPr="00263136" w:rsidRDefault="00735613" w:rsidP="00263136">
      <w:pPr>
        <w:widowControl w:val="0"/>
        <w:tabs>
          <w:tab w:val="left" w:pos="851"/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работы СВА являются: </w:t>
      </w:r>
    </w:p>
    <w:p w:rsidR="00735613" w:rsidRPr="00263136" w:rsidRDefault="00735613" w:rsidP="00263136">
      <w:pPr>
        <w:pStyle w:val="a4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>анализ отчетов по работе клинических подра</w:t>
      </w:r>
      <w:r w:rsidR="00263136">
        <w:rPr>
          <w:rFonts w:ascii="Times New Roman" w:hAnsi="Times New Roman" w:cs="Times New Roman"/>
          <w:bCs/>
          <w:i/>
          <w:iCs/>
          <w:sz w:val="24"/>
          <w:szCs w:val="24"/>
        </w:rPr>
        <w:t>зделений;</w:t>
      </w:r>
    </w:p>
    <w:p w:rsidR="00735613" w:rsidRPr="00263136" w:rsidRDefault="00735613" w:rsidP="00263136">
      <w:pPr>
        <w:pStyle w:val="a4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>анализ индикаторов стр</w:t>
      </w:r>
      <w:r w:rsidR="00263136">
        <w:rPr>
          <w:rFonts w:ascii="Times New Roman" w:hAnsi="Times New Roman" w:cs="Times New Roman"/>
          <w:bCs/>
          <w:i/>
          <w:iCs/>
          <w:sz w:val="24"/>
          <w:szCs w:val="24"/>
        </w:rPr>
        <w:t>уктуры, процесса и результатов;</w:t>
      </w:r>
    </w:p>
    <w:p w:rsidR="00735613" w:rsidRPr="00263136" w:rsidRDefault="00735613" w:rsidP="00263136">
      <w:pPr>
        <w:pStyle w:val="a4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>внедрение</w:t>
      </w:r>
      <w:r w:rsidR="002631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научных прикладных технологий;</w:t>
      </w:r>
    </w:p>
    <w:p w:rsidR="00263136" w:rsidRDefault="00735613" w:rsidP="00263136">
      <w:pPr>
        <w:pStyle w:val="a4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аттестация отделений, сотрудников на соответствие должности </w:t>
      </w:r>
      <w:r w:rsidR="00263136">
        <w:rPr>
          <w:rFonts w:ascii="Times New Roman" w:hAnsi="Times New Roman" w:cs="Times New Roman"/>
          <w:bCs/>
          <w:i/>
          <w:iCs/>
          <w:sz w:val="24"/>
          <w:szCs w:val="24"/>
        </w:rPr>
        <w:t>по оказанию экстренной помощи;</w:t>
      </w:r>
    </w:p>
    <w:p w:rsidR="00735613" w:rsidRPr="00263136" w:rsidRDefault="00263136" w:rsidP="00263136">
      <w:pPr>
        <w:pStyle w:val="a4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работа </w:t>
      </w:r>
      <w:r w:rsidR="00735613"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>с постоянно действующими комиссиями;</w:t>
      </w:r>
    </w:p>
    <w:p w:rsidR="00735613" w:rsidRPr="00263136" w:rsidRDefault="00735613" w:rsidP="00263136">
      <w:pPr>
        <w:pStyle w:val="a4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>подготовка к проведению аккредитации; постоянный мониторинг и анализ устных и письменных жалоб пациентов и их родственников;</w:t>
      </w:r>
    </w:p>
    <w:p w:rsidR="00735613" w:rsidRPr="00263136" w:rsidRDefault="00735613" w:rsidP="00263136">
      <w:pPr>
        <w:pStyle w:val="a4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3136">
        <w:rPr>
          <w:rFonts w:ascii="Times New Roman" w:hAnsi="Times New Roman" w:cs="Times New Roman"/>
          <w:bCs/>
          <w:i/>
          <w:iCs/>
          <w:sz w:val="24"/>
          <w:szCs w:val="24"/>
        </w:rPr>
        <w:t>мониторинг книг жалоб и предложений пациентов по отделениям.</w:t>
      </w:r>
    </w:p>
    <w:p w:rsidR="00FF2E9F" w:rsidRPr="00263136" w:rsidRDefault="00FF2E9F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1F0DE3" w:rsidRPr="00263136" w:rsidRDefault="001F0DE3" w:rsidP="00263136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136">
        <w:rPr>
          <w:rFonts w:ascii="Times New Roman" w:hAnsi="Times New Roman" w:cs="Times New Roman"/>
          <w:b/>
          <w:bCs/>
          <w:sz w:val="24"/>
          <w:szCs w:val="24"/>
        </w:rPr>
        <w:t>РАЗДЕЛ 3. ОЦЕНКА КОНКУРЕНТОСПОСОБНОСТИ ПРЕДПРИЯТИЯ</w:t>
      </w:r>
    </w:p>
    <w:p w:rsidR="00735613" w:rsidRPr="00263136" w:rsidRDefault="00735613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DE3" w:rsidRPr="00263136" w:rsidRDefault="001F0DE3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36">
        <w:rPr>
          <w:rFonts w:ascii="Times New Roman" w:hAnsi="Times New Roman" w:cs="Times New Roman"/>
          <w:b/>
          <w:sz w:val="24"/>
          <w:szCs w:val="24"/>
        </w:rPr>
        <w:t>3.1. Ключевые показатели деятельности (по плану развития)</w:t>
      </w:r>
    </w:p>
    <w:p w:rsidR="003B3EF5" w:rsidRPr="00263136" w:rsidRDefault="003B3EF5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5C0E" w:rsidRPr="00263136" w:rsidRDefault="00C05C0E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136">
        <w:rPr>
          <w:rFonts w:ascii="Times New Roman" w:hAnsi="Times New Roman" w:cs="Times New Roman"/>
          <w:i/>
          <w:sz w:val="24"/>
          <w:szCs w:val="24"/>
        </w:rPr>
        <w:t>Цель 1: Формирование пула из высококвалифицированных кадров, подготовленных к научно-образовательной деятельности по международным стандартам</w:t>
      </w:r>
    </w:p>
    <w:p w:rsidR="00F85551" w:rsidRPr="00263136" w:rsidRDefault="00F85551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762" w:rsidRPr="00263136" w:rsidRDefault="00FC4762" w:rsidP="00263136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3136">
        <w:rPr>
          <w:rFonts w:ascii="Times New Roman" w:hAnsi="Times New Roman" w:cs="Times New Roman"/>
          <w:i/>
          <w:sz w:val="24"/>
          <w:szCs w:val="24"/>
        </w:rPr>
        <w:t>В результате проведенных мероприятий по основным задачам в рамках данной стратегической цели из 7 индикаторов достигнуты 4 ин</w:t>
      </w:r>
      <w:r w:rsidR="00263136">
        <w:rPr>
          <w:rFonts w:ascii="Times New Roman" w:hAnsi="Times New Roman" w:cs="Times New Roman"/>
          <w:i/>
          <w:sz w:val="24"/>
          <w:szCs w:val="24"/>
        </w:rPr>
        <w:t>дикаторов, не достигнуты – 3.</w:t>
      </w:r>
      <w:proofErr w:type="gramEnd"/>
    </w:p>
    <w:p w:rsidR="00812724" w:rsidRDefault="00812724" w:rsidP="00263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C0E" w:rsidRPr="00C05C0E" w:rsidRDefault="00C05C0E" w:rsidP="00C05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5C0E">
        <w:rPr>
          <w:rFonts w:ascii="Times New Roman" w:hAnsi="Times New Roman"/>
          <w:b/>
          <w:sz w:val="24"/>
          <w:szCs w:val="24"/>
        </w:rPr>
        <w:t xml:space="preserve">Индикаторы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50"/>
        <w:gridCol w:w="1418"/>
        <w:gridCol w:w="1417"/>
        <w:gridCol w:w="1120"/>
        <w:gridCol w:w="1417"/>
      </w:tblGrid>
      <w:tr w:rsidR="009D0AC6" w:rsidRPr="009D0AC6" w:rsidTr="00263136">
        <w:trPr>
          <w:trHeight w:val="170"/>
        </w:trPr>
        <w:tc>
          <w:tcPr>
            <w:tcW w:w="567" w:type="dxa"/>
            <w:shd w:val="clear" w:color="auto" w:fill="D0CECE"/>
            <w:vAlign w:val="center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AC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D0AC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D0AC6">
              <w:rPr>
                <w:rFonts w:ascii="Times New Roman" w:hAnsi="Times New Roman"/>
                <w:b/>
              </w:rPr>
              <w:t>/</w:t>
            </w:r>
            <w:proofErr w:type="spellStart"/>
            <w:r w:rsidRPr="009D0AC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50" w:type="dxa"/>
            <w:shd w:val="clear" w:color="auto" w:fill="D0CECE"/>
            <w:vAlign w:val="center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AC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C05C0E" w:rsidRPr="009D0AC6" w:rsidRDefault="00C05C0E" w:rsidP="00263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>План на</w:t>
            </w:r>
            <w:r w:rsidR="00263136" w:rsidRPr="009D0AC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 w:rsidRPr="009D0AC6">
              <w:rPr>
                <w:rFonts w:ascii="Times New Roman" w:hAnsi="Times New Roman"/>
                <w:b/>
                <w:lang w:val="kk-KZ"/>
              </w:rPr>
              <w:t>2017</w:t>
            </w:r>
            <w:r w:rsidRPr="009D0AC6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C05C0E" w:rsidRPr="009D0AC6" w:rsidRDefault="00C05C0E" w:rsidP="00263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>Факт за</w:t>
            </w:r>
            <w:r w:rsidR="00263136" w:rsidRPr="009D0AC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 w:rsidRPr="009D0AC6">
              <w:rPr>
                <w:rFonts w:ascii="Times New Roman" w:hAnsi="Times New Roman"/>
                <w:b/>
                <w:lang w:val="kk-KZ"/>
              </w:rPr>
              <w:t>2017</w:t>
            </w:r>
            <w:r w:rsidRPr="009D0AC6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20" w:type="dxa"/>
            <w:shd w:val="clear" w:color="auto" w:fill="D0CECE"/>
            <w:vAlign w:val="center"/>
          </w:tcPr>
          <w:p w:rsidR="00C05C0E" w:rsidRPr="009D0AC6" w:rsidRDefault="00C05C0E" w:rsidP="00263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>Факт за</w:t>
            </w:r>
            <w:r w:rsidR="00263136" w:rsidRPr="009D0AC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 w:rsidRPr="009D0AC6">
              <w:rPr>
                <w:rFonts w:ascii="Times New Roman" w:hAnsi="Times New Roman"/>
                <w:b/>
                <w:lang w:val="kk-KZ"/>
              </w:rPr>
              <w:t>2016</w:t>
            </w:r>
            <w:r w:rsidRPr="009D0AC6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C05C0E" w:rsidRPr="009D0AC6" w:rsidRDefault="007500D4" w:rsidP="007500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 xml:space="preserve">Сведения о достижении </w:t>
            </w:r>
          </w:p>
        </w:tc>
      </w:tr>
      <w:tr w:rsidR="009D0AC6" w:rsidRPr="009D0AC6" w:rsidTr="00263136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:rsidR="006E4D39" w:rsidRPr="009D0AC6" w:rsidRDefault="00C05C0E" w:rsidP="0026313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Количество привлеченных ключевых иностранных специалистов в качестве менторов, отвечающих требованиям стратегического партнера</w:t>
            </w:r>
          </w:p>
        </w:tc>
        <w:tc>
          <w:tcPr>
            <w:tcW w:w="1418" w:type="dxa"/>
            <w:shd w:val="clear" w:color="auto" w:fill="auto"/>
          </w:tcPr>
          <w:p w:rsidR="00C05C0E" w:rsidRPr="009D0AC6" w:rsidRDefault="00C05C0E" w:rsidP="00F74B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 ч</w:t>
            </w:r>
            <w:r w:rsidR="00F74B7E" w:rsidRPr="009D0AC6">
              <w:rPr>
                <w:rFonts w:ascii="Times New Roman" w:hAnsi="Times New Roman"/>
                <w:i/>
              </w:rPr>
              <w:t xml:space="preserve">еловека в </w:t>
            </w:r>
            <w:r w:rsidRPr="009D0AC6">
              <w:rPr>
                <w:rFonts w:ascii="Times New Roman" w:hAnsi="Times New Roman"/>
                <w:i/>
              </w:rPr>
              <w:t>месяц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DF07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</w:t>
            </w:r>
            <w:r w:rsidR="00DF0772" w:rsidRPr="009D0AC6">
              <w:rPr>
                <w:rFonts w:ascii="Times New Roman" w:hAnsi="Times New Roman"/>
                <w:i/>
              </w:rPr>
              <w:t xml:space="preserve">,39 человека в </w:t>
            </w:r>
            <w:r w:rsidRPr="009D0AC6">
              <w:rPr>
                <w:rFonts w:ascii="Times New Roman" w:hAnsi="Times New Roman"/>
                <w:i/>
              </w:rPr>
              <w:t xml:space="preserve">месяц </w:t>
            </w:r>
          </w:p>
        </w:tc>
        <w:tc>
          <w:tcPr>
            <w:tcW w:w="1120" w:type="dxa"/>
            <w:shd w:val="clear" w:color="auto" w:fill="auto"/>
          </w:tcPr>
          <w:p w:rsidR="00C05C0E" w:rsidRPr="009D0AC6" w:rsidRDefault="007500D4" w:rsidP="00DF07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</w:t>
            </w:r>
            <w:r w:rsidR="00DF0772" w:rsidRPr="009D0AC6">
              <w:rPr>
                <w:rFonts w:ascii="Times New Roman" w:hAnsi="Times New Roman"/>
                <w:i/>
              </w:rPr>
              <w:t>,86 человека в месяц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 xml:space="preserve">Не достиг </w:t>
            </w:r>
          </w:p>
        </w:tc>
      </w:tr>
      <w:tr w:rsidR="009D0AC6" w:rsidRPr="009D0AC6" w:rsidTr="00263136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:rsidR="006E4D39" w:rsidRPr="009D0AC6" w:rsidRDefault="00C05C0E" w:rsidP="0026313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 xml:space="preserve">Количество мастер-классов с привлечением ведущих зарубежных </w:t>
            </w:r>
            <w:r w:rsidRPr="009D0AC6">
              <w:rPr>
                <w:rFonts w:ascii="Times New Roman" w:hAnsi="Times New Roman"/>
                <w:i/>
              </w:rPr>
              <w:lastRenderedPageBreak/>
              <w:t>специалистов из клиник дальнего и ближнего зарубежья (по 021 БП) *</w:t>
            </w:r>
          </w:p>
        </w:tc>
        <w:tc>
          <w:tcPr>
            <w:tcW w:w="1418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lastRenderedPageBreak/>
              <w:t>не менее 2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4167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9D0AC6" w:rsidRPr="009D0AC6" w:rsidTr="00263136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lastRenderedPageBreak/>
              <w:t>3</w:t>
            </w:r>
          </w:p>
        </w:tc>
        <w:tc>
          <w:tcPr>
            <w:tcW w:w="3950" w:type="dxa"/>
            <w:shd w:val="clear" w:color="auto" w:fill="auto"/>
          </w:tcPr>
          <w:p w:rsidR="006E4D39" w:rsidRPr="009D0AC6" w:rsidRDefault="00C05C0E" w:rsidP="0026313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Доля персонала, прошедшего обучение/переподготовку</w:t>
            </w:r>
            <w:r w:rsidR="0067409A" w:rsidRPr="009D0AC6">
              <w:rPr>
                <w:rFonts w:ascii="Times New Roman" w:hAnsi="Times New Roman"/>
                <w:i/>
              </w:rPr>
              <w:t>,</w:t>
            </w:r>
            <w:r w:rsidRPr="009D0AC6">
              <w:rPr>
                <w:rFonts w:ascii="Times New Roman" w:hAnsi="Times New Roman"/>
                <w:i/>
              </w:rPr>
              <w:t xml:space="preserve"> в т.ч. за рубежом</w:t>
            </w:r>
          </w:p>
        </w:tc>
        <w:tc>
          <w:tcPr>
            <w:tcW w:w="1418" w:type="dxa"/>
            <w:shd w:val="clear" w:color="auto" w:fill="auto"/>
          </w:tcPr>
          <w:p w:rsidR="00C05C0E" w:rsidRPr="009D0AC6" w:rsidRDefault="00C05C0E" w:rsidP="008A41D7">
            <w:pPr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35</w:t>
            </w:r>
            <w:r w:rsidR="00C05C0E" w:rsidRPr="009D0AC6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C05C0E" w:rsidRPr="009D0AC6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28</w:t>
            </w:r>
            <w:r w:rsidR="00C05C0E" w:rsidRPr="009D0AC6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Достиг</w:t>
            </w:r>
          </w:p>
        </w:tc>
      </w:tr>
      <w:tr w:rsidR="009D0AC6" w:rsidRPr="009D0AC6" w:rsidTr="00263136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:rsidR="006E4D39" w:rsidRPr="009D0AC6" w:rsidRDefault="00653A93" w:rsidP="0026313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8" w:type="dxa"/>
            <w:shd w:val="clear" w:color="auto" w:fill="auto"/>
          </w:tcPr>
          <w:p w:rsidR="00C05C0E" w:rsidRPr="009D0AC6" w:rsidRDefault="00726E08" w:rsidP="00653A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 xml:space="preserve">не менее </w:t>
            </w:r>
            <w:r w:rsidR="00653A93" w:rsidRPr="009D0AC6">
              <w:rPr>
                <w:rFonts w:ascii="Times New Roman" w:hAnsi="Times New Roman"/>
                <w:i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485591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1,7</w:t>
            </w:r>
          </w:p>
        </w:tc>
        <w:tc>
          <w:tcPr>
            <w:tcW w:w="1120" w:type="dxa"/>
            <w:shd w:val="clear" w:color="auto" w:fill="auto"/>
          </w:tcPr>
          <w:p w:rsidR="00C05C0E" w:rsidRPr="009D0AC6" w:rsidRDefault="00485591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9D0AC6" w:rsidRPr="009D0AC6" w:rsidTr="00263136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:rsidR="00C05C0E" w:rsidRPr="009D0AC6" w:rsidRDefault="00263136" w:rsidP="0026313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Текучесть кадров</w:t>
            </w:r>
          </w:p>
        </w:tc>
        <w:tc>
          <w:tcPr>
            <w:tcW w:w="1418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более 9%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8,5%</w:t>
            </w:r>
          </w:p>
        </w:tc>
        <w:tc>
          <w:tcPr>
            <w:tcW w:w="1120" w:type="dxa"/>
            <w:shd w:val="clear" w:color="auto" w:fill="auto"/>
          </w:tcPr>
          <w:p w:rsidR="00C05C0E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7,9%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9D0AC6" w:rsidRPr="009D0AC6" w:rsidTr="00263136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950" w:type="dxa"/>
            <w:shd w:val="clear" w:color="auto" w:fill="auto"/>
          </w:tcPr>
          <w:p w:rsidR="00C05C0E" w:rsidRPr="009D0AC6" w:rsidRDefault="00C05C0E" w:rsidP="0026313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Уровень удовлетворенности персонала</w:t>
            </w:r>
          </w:p>
        </w:tc>
        <w:tc>
          <w:tcPr>
            <w:tcW w:w="1418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менее 70%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87%</w:t>
            </w:r>
          </w:p>
        </w:tc>
        <w:tc>
          <w:tcPr>
            <w:tcW w:w="1120" w:type="dxa"/>
            <w:shd w:val="clear" w:color="auto" w:fill="auto"/>
          </w:tcPr>
          <w:p w:rsidR="00C05C0E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78%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9D0AC6" w:rsidRPr="009D0AC6" w:rsidTr="00263136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3950" w:type="dxa"/>
            <w:shd w:val="clear" w:color="auto" w:fill="auto"/>
          </w:tcPr>
          <w:p w:rsidR="00C05C0E" w:rsidRPr="009D0AC6" w:rsidRDefault="00C05C0E" w:rsidP="0026313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Уровень обеспеченности жильем</w:t>
            </w:r>
          </w:p>
        </w:tc>
        <w:tc>
          <w:tcPr>
            <w:tcW w:w="1418" w:type="dxa"/>
            <w:shd w:val="clear" w:color="auto" w:fill="auto"/>
          </w:tcPr>
          <w:p w:rsidR="00C05C0E" w:rsidRPr="009D0AC6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не менее 59,1%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57,4%</w:t>
            </w:r>
          </w:p>
        </w:tc>
        <w:tc>
          <w:tcPr>
            <w:tcW w:w="1120" w:type="dxa"/>
            <w:shd w:val="clear" w:color="auto" w:fill="auto"/>
          </w:tcPr>
          <w:p w:rsidR="00C05C0E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45,4%</w:t>
            </w:r>
          </w:p>
        </w:tc>
        <w:tc>
          <w:tcPr>
            <w:tcW w:w="1417" w:type="dxa"/>
            <w:shd w:val="clear" w:color="auto" w:fill="auto"/>
          </w:tcPr>
          <w:p w:rsidR="00C05C0E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</w:tbl>
    <w:p w:rsidR="007500D4" w:rsidRPr="00745561" w:rsidRDefault="007500D4" w:rsidP="002631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Причины не достижения: </w:t>
      </w:r>
    </w:p>
    <w:p w:rsidR="007500D4" w:rsidRPr="00745561" w:rsidRDefault="007500D4" w:rsidP="002631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C05C0E" w:rsidRPr="00745561" w:rsidRDefault="00C05C0E" w:rsidP="002631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C0E" w:rsidRPr="00745561" w:rsidRDefault="00C05C0E" w:rsidP="002631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 2: Адекватное финансирование деятельности, повышение доходности</w:t>
      </w:r>
    </w:p>
    <w:p w:rsidR="00F85551" w:rsidRPr="00745561" w:rsidRDefault="00F85551" w:rsidP="002631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762" w:rsidRDefault="00FC4762" w:rsidP="002631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>В результате проведенных мероприятий по основным задачам в рамках данной стратегической цели из 6 индикаторов наблюдается достижение 3 и</w:t>
      </w:r>
      <w:r w:rsidR="00263136">
        <w:rPr>
          <w:rFonts w:ascii="Times New Roman" w:hAnsi="Times New Roman" w:cs="Times New Roman"/>
          <w:i/>
          <w:sz w:val="24"/>
          <w:szCs w:val="24"/>
        </w:rPr>
        <w:t>ндикаторов, не достигнуты – 3.</w:t>
      </w:r>
      <w:proofErr w:type="gramEnd"/>
    </w:p>
    <w:p w:rsidR="00263136" w:rsidRPr="00745561" w:rsidRDefault="00263136" w:rsidP="002631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C0E" w:rsidRPr="00C05C0E" w:rsidRDefault="00263136" w:rsidP="00FC4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578"/>
        <w:gridCol w:w="1417"/>
        <w:gridCol w:w="1418"/>
        <w:gridCol w:w="1134"/>
        <w:gridCol w:w="1417"/>
      </w:tblGrid>
      <w:tr w:rsidR="00C05C0E" w:rsidRPr="00A6433A" w:rsidTr="00FD314A">
        <w:trPr>
          <w:trHeight w:val="170"/>
        </w:trPr>
        <w:tc>
          <w:tcPr>
            <w:tcW w:w="817" w:type="dxa"/>
            <w:shd w:val="clear" w:color="auto" w:fill="D0CECE"/>
          </w:tcPr>
          <w:p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6433A">
              <w:rPr>
                <w:rFonts w:ascii="Times New Roman" w:hAnsi="Times New Roman"/>
                <w:b/>
              </w:rPr>
              <w:t>/</w:t>
            </w:r>
            <w:proofErr w:type="spellStart"/>
            <w:r w:rsidRPr="00A6433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78" w:type="dxa"/>
            <w:shd w:val="clear" w:color="auto" w:fill="D0CECE"/>
          </w:tcPr>
          <w:p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C05C0E" w:rsidRPr="00A6433A" w:rsidRDefault="00C05C0E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>
              <w:rPr>
                <w:rFonts w:ascii="Times New Roman" w:hAnsi="Times New Roman"/>
                <w:b/>
                <w:lang w:val="kk-KZ"/>
              </w:rPr>
              <w:t>2017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год*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C05C0E" w:rsidRPr="00A6433A" w:rsidRDefault="00C05C0E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>
              <w:rPr>
                <w:rFonts w:ascii="Times New Roman" w:hAnsi="Times New Roman"/>
                <w:b/>
                <w:lang w:val="kk-KZ"/>
              </w:rPr>
              <w:t>2017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C05C0E" w:rsidRPr="00FD314A" w:rsidRDefault="00C05C0E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6433A"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C05C0E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26E08" w:rsidRPr="00745561" w:rsidTr="00FD314A">
        <w:trPr>
          <w:trHeight w:val="17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Доход на 1 койку (млн. тенге)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27,7</w:t>
            </w:r>
            <w:r w:rsidR="00DF0772" w:rsidRPr="00745561">
              <w:rPr>
                <w:rFonts w:ascii="Times New Roman" w:hAnsi="Times New Roman"/>
                <w:i/>
                <w:lang w:val="kk-KZ"/>
              </w:rPr>
              <w:t xml:space="preserve"> млн. тг.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33,7</w:t>
            </w:r>
            <w:r w:rsidR="00DF0772" w:rsidRPr="00745561">
              <w:rPr>
                <w:rFonts w:ascii="Times New Roman" w:hAnsi="Times New Roman"/>
                <w:i/>
                <w:lang w:val="kk-KZ"/>
              </w:rPr>
              <w:t xml:space="preserve"> млн. тг.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DF077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29,3 млн. тг.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17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Амортизационный коэффициент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653A9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 xml:space="preserve">не более </w:t>
            </w:r>
            <w:r w:rsidR="00726E08" w:rsidRPr="009D0AC6">
              <w:rPr>
                <w:rFonts w:ascii="Times New Roman" w:hAnsi="Times New Roman"/>
                <w:i/>
              </w:rPr>
              <w:t>38%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41,8%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36%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726E08" w:rsidRPr="00745561" w:rsidTr="00FD314A">
        <w:trPr>
          <w:trHeight w:val="17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Оборачиваемость активов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43,1%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46,1%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67,1%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17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Рентабельность (эффективная деятельность)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0,8%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0,01%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11,7%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726E08" w:rsidRPr="00745561" w:rsidTr="00FD314A">
        <w:trPr>
          <w:trHeight w:val="17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Рентабельность активов (ROA)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0,4%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0,01%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7,9%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726E08" w:rsidRPr="00745561" w:rsidTr="00FD314A">
        <w:trPr>
          <w:trHeight w:val="17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57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Доля доходов от платных услуг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7,4%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9,9%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6,4%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:rsidR="007500D4" w:rsidRPr="00745561" w:rsidRDefault="00FD314A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  <w:r w:rsidR="007500D4"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7500D4" w:rsidRPr="00745561" w:rsidRDefault="007500D4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C0E" w:rsidRPr="00745561" w:rsidRDefault="00C05C0E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Цель 3: Создание </w:t>
      </w:r>
      <w:proofErr w:type="spellStart"/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>пациент-ориентированной</w:t>
      </w:r>
      <w:proofErr w:type="spellEnd"/>
      <w:proofErr w:type="gramEnd"/>
      <w:r w:rsidRPr="00745561">
        <w:rPr>
          <w:rFonts w:ascii="Times New Roman" w:hAnsi="Times New Roman" w:cs="Times New Roman"/>
          <w:i/>
          <w:sz w:val="24"/>
          <w:szCs w:val="24"/>
        </w:rPr>
        <w:t xml:space="preserve"> системы оказания медицинской помощи </w:t>
      </w:r>
    </w:p>
    <w:p w:rsidR="00F85551" w:rsidRPr="00745561" w:rsidRDefault="00F85551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762" w:rsidRPr="00745561" w:rsidRDefault="00FC4762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9 индикаторов наблюдается достижение 8 индикаторов, не достигнут – 1 индикатор. </w:t>
      </w:r>
    </w:p>
    <w:p w:rsidR="007E4947" w:rsidRPr="007E4947" w:rsidRDefault="00263136" w:rsidP="007E4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61"/>
        <w:gridCol w:w="1418"/>
        <w:gridCol w:w="1134"/>
        <w:gridCol w:w="1134"/>
        <w:gridCol w:w="1417"/>
      </w:tblGrid>
      <w:tr w:rsidR="007E4947" w:rsidRPr="00A6433A" w:rsidTr="00FD314A">
        <w:trPr>
          <w:trHeight w:val="784"/>
        </w:trPr>
        <w:tc>
          <w:tcPr>
            <w:tcW w:w="817" w:type="dxa"/>
            <w:shd w:val="clear" w:color="auto" w:fill="D0CECE"/>
          </w:tcPr>
          <w:p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6433A">
              <w:rPr>
                <w:rFonts w:ascii="Times New Roman" w:hAnsi="Times New Roman"/>
                <w:b/>
              </w:rPr>
              <w:t>/</w:t>
            </w:r>
            <w:proofErr w:type="spellStart"/>
            <w:r w:rsidRPr="00A6433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D0CECE"/>
          </w:tcPr>
          <w:p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E4947" w:rsidRPr="00A6433A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>
              <w:rPr>
                <w:rFonts w:ascii="Times New Roman" w:hAnsi="Times New Roman"/>
                <w:b/>
                <w:lang w:val="kk-KZ"/>
              </w:rPr>
              <w:t>2017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7E4947" w:rsidRPr="00A6433A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6433A">
              <w:rPr>
                <w:rFonts w:ascii="Times New Roman" w:hAnsi="Times New Roman"/>
                <w:b/>
                <w:lang w:val="kk-KZ"/>
              </w:rPr>
              <w:t>201</w:t>
            </w:r>
            <w:r w:rsidR="00726E08">
              <w:rPr>
                <w:rFonts w:ascii="Times New Roman" w:hAnsi="Times New Roman"/>
                <w:b/>
                <w:lang w:val="kk-KZ"/>
              </w:rPr>
              <w:t>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7E4947" w:rsidRPr="00A6433A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6433A"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E4947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26E08" w:rsidRPr="00745561" w:rsidTr="00FD314A">
        <w:trPr>
          <w:trHeight w:val="281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Удовлетворенность пациентов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95%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96,7%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95%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89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Показатели ВБИ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4%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630CA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0,3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630CA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0,6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68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послеоперационной летальности пациентов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1,6%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0,8%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0,76%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71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Общая летальность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0,9%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0,7%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0,6%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37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lastRenderedPageBreak/>
              <w:t>5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7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послеоперационных осложнений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3%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0,11%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0,52%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83"/>
        </w:trPr>
        <w:tc>
          <w:tcPr>
            <w:tcW w:w="817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3861" w:type="dxa"/>
            <w:shd w:val="clear" w:color="auto" w:fill="auto"/>
          </w:tcPr>
          <w:p w:rsidR="00726E08" w:rsidRPr="009D0AC6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Доля пациентов, пролеченных по ВСМП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менее 45%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43%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44%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726E08" w:rsidRPr="00745561" w:rsidTr="00FD314A">
        <w:trPr>
          <w:trHeight w:val="26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Доля иногородних пациентов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75%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78,6%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76,1%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63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Время ожидания госпитализации в стационар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14 дней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 дней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 дней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:rsidR="00653A93" w:rsidRPr="00745561" w:rsidRDefault="00653A93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1B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7E4947" w:rsidRPr="00745561" w:rsidRDefault="007E4947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C0E" w:rsidRPr="00745561" w:rsidRDefault="00C05C0E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 4: Эффективный больничный менеджмент</w:t>
      </w:r>
    </w:p>
    <w:p w:rsidR="00F85551" w:rsidRPr="00745561" w:rsidRDefault="00F85551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C4762" w:rsidRPr="00745561" w:rsidRDefault="00FC4762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5 индикаторов наблюдается достижение 3 индикаторов, не достигнуты – 2 </w:t>
      </w:r>
      <w:r w:rsidR="00401A21" w:rsidRPr="00745561">
        <w:rPr>
          <w:rFonts w:ascii="Times New Roman" w:hAnsi="Times New Roman" w:cs="Times New Roman"/>
          <w:i/>
          <w:sz w:val="24"/>
          <w:szCs w:val="24"/>
        </w:rPr>
        <w:t>индикатора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61"/>
        <w:gridCol w:w="1418"/>
        <w:gridCol w:w="1134"/>
        <w:gridCol w:w="1134"/>
        <w:gridCol w:w="1417"/>
      </w:tblGrid>
      <w:tr w:rsidR="007E4947" w:rsidRPr="00A6433A" w:rsidTr="00FD314A">
        <w:trPr>
          <w:trHeight w:val="784"/>
        </w:trPr>
        <w:tc>
          <w:tcPr>
            <w:tcW w:w="817" w:type="dxa"/>
            <w:shd w:val="clear" w:color="auto" w:fill="D0CECE"/>
          </w:tcPr>
          <w:p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6433A">
              <w:rPr>
                <w:rFonts w:ascii="Times New Roman" w:hAnsi="Times New Roman"/>
                <w:b/>
              </w:rPr>
              <w:t>/</w:t>
            </w:r>
            <w:proofErr w:type="spellStart"/>
            <w:r w:rsidRPr="00A6433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D0CECE"/>
          </w:tcPr>
          <w:p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E4947" w:rsidRPr="00A6433A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>
              <w:rPr>
                <w:rFonts w:ascii="Times New Roman" w:hAnsi="Times New Roman"/>
                <w:b/>
                <w:lang w:val="kk-KZ"/>
              </w:rPr>
              <w:t>2017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7E4947" w:rsidRPr="00A6433A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26E08">
              <w:rPr>
                <w:rFonts w:ascii="Times New Roman" w:hAnsi="Times New Roman"/>
                <w:b/>
                <w:lang w:val="kk-KZ"/>
              </w:rPr>
              <w:t>2017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7E4947" w:rsidRPr="00A6433A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2016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E4947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E4947" w:rsidRPr="00745561" w:rsidTr="00FD314A">
        <w:trPr>
          <w:trHeight w:val="289"/>
        </w:trPr>
        <w:tc>
          <w:tcPr>
            <w:tcW w:w="817" w:type="dxa"/>
            <w:shd w:val="clear" w:color="auto" w:fill="auto"/>
          </w:tcPr>
          <w:p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7E4947" w:rsidRPr="009D0AC6" w:rsidRDefault="007E4947" w:rsidP="00FD31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Уровень компьютеризации рабочих мест</w:t>
            </w:r>
          </w:p>
        </w:tc>
        <w:tc>
          <w:tcPr>
            <w:tcW w:w="1418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7E4947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328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726E08" w:rsidRPr="009D0AC6" w:rsidRDefault="00726E08" w:rsidP="00FD31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Оборот койки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менее 26,9 раз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26,8</w:t>
            </w:r>
            <w:r w:rsidR="000207CA" w:rsidRPr="009D0AC6">
              <w:rPr>
                <w:rFonts w:ascii="Times New Roman" w:hAnsi="Times New Roman"/>
                <w:i/>
              </w:rPr>
              <w:t xml:space="preserve"> раз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26,7</w:t>
            </w:r>
            <w:r w:rsidR="000207CA" w:rsidRPr="009D0AC6">
              <w:rPr>
                <w:rFonts w:ascii="Times New Roman" w:hAnsi="Times New Roman"/>
                <w:i/>
              </w:rPr>
              <w:t xml:space="preserve"> раз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726E08" w:rsidRPr="00745561" w:rsidTr="00FD314A">
        <w:trPr>
          <w:trHeight w:val="194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D0AC6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726E08" w:rsidRPr="009D0AC6" w:rsidRDefault="00726E08" w:rsidP="00FD31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Средняя занятость койки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90,7%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96,9</w:t>
            </w:r>
            <w:r w:rsidR="000C3B40" w:rsidRPr="009D0AC6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726E08" w:rsidRPr="00745561" w:rsidTr="00FD314A">
        <w:trPr>
          <w:trHeight w:val="284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:rsidR="00726E08" w:rsidRPr="009D0AC6" w:rsidRDefault="00726E08" w:rsidP="00FD31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Средняя длительность пребывания пациента в стационаре</w:t>
            </w:r>
          </w:p>
        </w:tc>
        <w:tc>
          <w:tcPr>
            <w:tcW w:w="1418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более 12,1 дней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11,5</w:t>
            </w:r>
            <w:r w:rsidR="000C3B40" w:rsidRPr="009D0AC6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134" w:type="dxa"/>
            <w:shd w:val="clear" w:color="auto" w:fill="auto"/>
          </w:tcPr>
          <w:p w:rsidR="00726E08" w:rsidRPr="009D0AC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12,3</w:t>
            </w:r>
            <w:r w:rsidR="000C3B40" w:rsidRPr="009D0AC6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</w:tcPr>
          <w:p w:rsidR="00726E08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:rsidTr="00FD314A">
        <w:trPr>
          <w:trHeight w:val="260"/>
        </w:trPr>
        <w:tc>
          <w:tcPr>
            <w:tcW w:w="817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861" w:type="dxa"/>
            <w:shd w:val="clear" w:color="auto" w:fill="auto"/>
          </w:tcPr>
          <w:p w:rsidR="00726E08" w:rsidRPr="00745561" w:rsidRDefault="00726E08" w:rsidP="00FD31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Средняя длительность дооперационного пребывания</w:t>
            </w:r>
          </w:p>
        </w:tc>
        <w:tc>
          <w:tcPr>
            <w:tcW w:w="1418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4,7 дней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4,1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134" w:type="dxa"/>
            <w:shd w:val="clear" w:color="auto" w:fill="auto"/>
          </w:tcPr>
          <w:p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4,5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</w:tcPr>
          <w:p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:rsidR="00653A93" w:rsidRPr="00745561" w:rsidRDefault="00653A93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1B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7E4947" w:rsidRPr="00745561" w:rsidRDefault="007E4947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C0E" w:rsidRPr="00745561" w:rsidRDefault="00C05C0E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 5: Научно-инновационная деятельность, конкурентоспособная на международном уровне</w:t>
      </w:r>
    </w:p>
    <w:p w:rsidR="00F85551" w:rsidRPr="00745561" w:rsidRDefault="00F85551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762" w:rsidRPr="00745561" w:rsidRDefault="00FC4762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В результате проведенных мероприятий по основным задачам в рамках данной стратегической цели из 4 индикаторов наблюдается достижение 3</w:t>
      </w:r>
      <w:r w:rsidR="00263136">
        <w:rPr>
          <w:rFonts w:ascii="Times New Roman" w:hAnsi="Times New Roman" w:cs="Times New Roman"/>
          <w:i/>
          <w:sz w:val="24"/>
          <w:szCs w:val="24"/>
        </w:rPr>
        <w:t xml:space="preserve"> индикаторов, не достигнут – 1.</w:t>
      </w:r>
    </w:p>
    <w:p w:rsidR="007E4947" w:rsidRPr="007E4947" w:rsidRDefault="007E4947" w:rsidP="007E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4947">
        <w:rPr>
          <w:rFonts w:ascii="Times New Roman" w:hAnsi="Times New Roman"/>
          <w:b/>
          <w:sz w:val="24"/>
          <w:szCs w:val="24"/>
        </w:rPr>
        <w:t>Индикаторы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52"/>
        <w:gridCol w:w="1418"/>
        <w:gridCol w:w="1134"/>
        <w:gridCol w:w="1134"/>
        <w:gridCol w:w="1417"/>
      </w:tblGrid>
      <w:tr w:rsidR="009D0AC6" w:rsidRPr="009D0AC6" w:rsidTr="00FD314A">
        <w:trPr>
          <w:trHeight w:val="784"/>
        </w:trPr>
        <w:tc>
          <w:tcPr>
            <w:tcW w:w="426" w:type="dxa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A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52" w:type="dxa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AC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4947" w:rsidRPr="009D0AC6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>План на</w:t>
            </w:r>
            <w:r w:rsidR="00FD314A" w:rsidRPr="009D0AC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C44B6C" w:rsidRPr="009D0AC6">
              <w:rPr>
                <w:rFonts w:ascii="Times New Roman" w:hAnsi="Times New Roman"/>
                <w:b/>
                <w:lang w:val="kk-KZ"/>
              </w:rPr>
              <w:t>2017</w:t>
            </w:r>
            <w:r w:rsidRPr="009D0AC6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947" w:rsidRPr="009D0AC6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 w:rsidRPr="009D0AC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C44B6C" w:rsidRPr="009D0AC6">
              <w:rPr>
                <w:rFonts w:ascii="Times New Roman" w:hAnsi="Times New Roman"/>
                <w:b/>
                <w:lang w:val="kk-KZ"/>
              </w:rPr>
              <w:t>2017</w:t>
            </w:r>
            <w:r w:rsidRPr="009D0AC6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947" w:rsidRPr="009D0AC6" w:rsidRDefault="007E4947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>Факт</w:t>
            </w:r>
            <w:r w:rsidR="00FD314A" w:rsidRPr="009D0AC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D0AC6"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947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D0AC6"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9D0AC6" w:rsidRPr="009D0AC6" w:rsidTr="00FD314A">
        <w:trPr>
          <w:trHeight w:val="281"/>
        </w:trPr>
        <w:tc>
          <w:tcPr>
            <w:tcW w:w="426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7E4947" w:rsidRPr="009D0AC6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Количество обученных сотрудников международным стандартам GCP</w:t>
            </w:r>
          </w:p>
        </w:tc>
        <w:tc>
          <w:tcPr>
            <w:tcW w:w="1418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E4947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9D0AC6" w:rsidRPr="009D0AC6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7E4947" w:rsidRPr="009D0AC6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Количество патентов</w:t>
            </w:r>
          </w:p>
        </w:tc>
        <w:tc>
          <w:tcPr>
            <w:tcW w:w="1418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E4947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достиг</w:t>
            </w:r>
          </w:p>
        </w:tc>
      </w:tr>
      <w:tr w:rsidR="009D0AC6" w:rsidRPr="009D0AC6" w:rsidTr="00FD314A">
        <w:trPr>
          <w:trHeight w:val="289"/>
        </w:trPr>
        <w:tc>
          <w:tcPr>
            <w:tcW w:w="426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7E4947" w:rsidRPr="009D0AC6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Количество публикаций в рецензируемых журналах (</w:t>
            </w:r>
            <w:proofErr w:type="spellStart"/>
            <w:r w:rsidRPr="009D0AC6">
              <w:rPr>
                <w:rFonts w:ascii="Times New Roman" w:hAnsi="Times New Roman"/>
                <w:i/>
              </w:rPr>
              <w:t>peer</w:t>
            </w:r>
            <w:proofErr w:type="spellEnd"/>
            <w:r w:rsidRPr="009D0AC6">
              <w:rPr>
                <w:rFonts w:ascii="Times New Roman" w:hAnsi="Times New Roman"/>
                <w:i/>
              </w:rPr>
              <w:t xml:space="preserve"> - </w:t>
            </w:r>
            <w:proofErr w:type="spellStart"/>
            <w:r w:rsidRPr="009D0AC6">
              <w:rPr>
                <w:rFonts w:ascii="Times New Roman" w:hAnsi="Times New Roman"/>
                <w:i/>
              </w:rPr>
              <w:t>reviewed</w:t>
            </w:r>
            <w:proofErr w:type="spellEnd"/>
            <w:r w:rsidRPr="009D0AC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E4947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9D0AC6" w:rsidRPr="009D0AC6" w:rsidTr="00FD314A">
        <w:trPr>
          <w:trHeight w:val="340"/>
        </w:trPr>
        <w:tc>
          <w:tcPr>
            <w:tcW w:w="426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AC6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7E4947" w:rsidRPr="009D0AC6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Количество финансируемых научно-исследовательских программ (проектов), в т.ч. международные гранты</w:t>
            </w:r>
          </w:p>
        </w:tc>
        <w:tc>
          <w:tcPr>
            <w:tcW w:w="1418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E4947" w:rsidRPr="009D0AC6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E4947" w:rsidRPr="009D0AC6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:rsidR="00653A93" w:rsidRPr="00745561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1B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7E4947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D314A" w:rsidRDefault="00FD314A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D314A" w:rsidRPr="00C05C0E" w:rsidRDefault="00FD314A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41D7" w:rsidRPr="00735613" w:rsidRDefault="001F0DE3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613">
        <w:rPr>
          <w:rFonts w:ascii="Times New Roman" w:hAnsi="Times New Roman" w:cs="Times New Roman"/>
          <w:b/>
          <w:sz w:val="24"/>
          <w:szCs w:val="24"/>
        </w:rPr>
        <w:lastRenderedPageBreak/>
        <w:t>3.2. Основные медико-экономические показатели (</w:t>
      </w:r>
      <w:proofErr w:type="gramStart"/>
      <w:r w:rsidRPr="0073561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35613">
        <w:rPr>
          <w:rFonts w:ascii="Times New Roman" w:hAnsi="Times New Roman" w:cs="Times New Roman"/>
          <w:b/>
          <w:sz w:val="24"/>
          <w:szCs w:val="24"/>
        </w:rPr>
        <w:t xml:space="preserve"> последние 3 года)</w:t>
      </w:r>
    </w:p>
    <w:p w:rsidR="002115D5" w:rsidRPr="00F032B0" w:rsidRDefault="002115D5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5D5" w:rsidRPr="00745561" w:rsidRDefault="00AF457A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Медико-экономические </w:t>
      </w:r>
      <w:r w:rsidR="002115D5" w:rsidRPr="00745561">
        <w:rPr>
          <w:rFonts w:ascii="Times New Roman" w:hAnsi="Times New Roman" w:cs="Times New Roman"/>
          <w:i/>
          <w:sz w:val="24"/>
          <w:szCs w:val="24"/>
        </w:rPr>
        <w:t xml:space="preserve">показатели </w:t>
      </w:r>
      <w:r w:rsidR="00630CA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2115D5" w:rsidRPr="00745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115D5" w:rsidRPr="00745561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2115D5" w:rsidRPr="00745561">
        <w:rPr>
          <w:rFonts w:ascii="Times New Roman" w:hAnsi="Times New Roman" w:cs="Times New Roman"/>
          <w:i/>
          <w:sz w:val="24"/>
          <w:szCs w:val="24"/>
        </w:rPr>
        <w:t xml:space="preserve"> последние 3 года</w:t>
      </w:r>
      <w:r w:rsidR="00C60E10" w:rsidRPr="0074556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115D5" w:rsidRDefault="002115D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103"/>
        <w:gridCol w:w="1417"/>
        <w:gridCol w:w="1418"/>
        <w:gridCol w:w="1417"/>
      </w:tblGrid>
      <w:tr w:rsidR="002115D5" w:rsidRPr="00A6433A" w:rsidTr="00FD314A">
        <w:trPr>
          <w:trHeight w:val="784"/>
        </w:trPr>
        <w:tc>
          <w:tcPr>
            <w:tcW w:w="426" w:type="dxa"/>
          </w:tcPr>
          <w:p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15D5" w:rsidRPr="00A6433A" w:rsidRDefault="002115D5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6433A">
              <w:rPr>
                <w:rFonts w:ascii="Times New Roman" w:hAnsi="Times New Roman"/>
                <w:b/>
                <w:lang w:val="kk-KZ"/>
              </w:rPr>
              <w:t>2015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5D5" w:rsidRPr="00A6433A" w:rsidRDefault="002115D5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2016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15D5" w:rsidRPr="00A6433A" w:rsidRDefault="002115D5" w:rsidP="00FD31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</w:t>
            </w:r>
            <w:r w:rsidR="00FD314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6433A">
              <w:rPr>
                <w:rFonts w:ascii="Times New Roman" w:hAnsi="Times New Roman"/>
                <w:b/>
                <w:lang w:val="kk-KZ"/>
              </w:rPr>
              <w:t>201</w:t>
            </w:r>
            <w:r>
              <w:rPr>
                <w:rFonts w:ascii="Times New Roman" w:hAnsi="Times New Roman"/>
                <w:b/>
                <w:lang w:val="kk-KZ"/>
              </w:rPr>
              <w:t>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</w:tr>
      <w:tr w:rsidR="002115D5" w:rsidRPr="00745561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2115D5" w:rsidRPr="00745561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115D5" w:rsidRPr="00745561" w:rsidRDefault="00D361FB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Удовлетворенность пациентов </w:t>
            </w:r>
          </w:p>
        </w:tc>
        <w:tc>
          <w:tcPr>
            <w:tcW w:w="1417" w:type="dxa"/>
            <w:shd w:val="clear" w:color="auto" w:fill="auto"/>
          </w:tcPr>
          <w:p w:rsidR="002115D5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75%</w:t>
            </w:r>
          </w:p>
        </w:tc>
        <w:tc>
          <w:tcPr>
            <w:tcW w:w="1418" w:type="dxa"/>
            <w:shd w:val="clear" w:color="auto" w:fill="auto"/>
          </w:tcPr>
          <w:p w:rsidR="002115D5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88%</w:t>
            </w:r>
          </w:p>
        </w:tc>
        <w:tc>
          <w:tcPr>
            <w:tcW w:w="1417" w:type="dxa"/>
            <w:shd w:val="clear" w:color="auto" w:fill="auto"/>
          </w:tcPr>
          <w:p w:rsidR="002115D5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97%</w:t>
            </w:r>
          </w:p>
        </w:tc>
      </w:tr>
      <w:tr w:rsidR="00D361FB" w:rsidRPr="00745561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361FB" w:rsidRPr="00745561" w:rsidRDefault="00D361FB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Удовлетворенность работников 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76%</w:t>
            </w:r>
          </w:p>
        </w:tc>
        <w:tc>
          <w:tcPr>
            <w:tcW w:w="1418" w:type="dxa"/>
            <w:shd w:val="clear" w:color="auto" w:fill="auto"/>
          </w:tcPr>
          <w:p w:rsidR="00D361FB" w:rsidRPr="00745561" w:rsidRDefault="00C44B6C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78</w:t>
            </w:r>
            <w:r w:rsidR="00D361FB" w:rsidRPr="00745561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C44B6C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87</w:t>
            </w:r>
            <w:r w:rsidR="00D361FB" w:rsidRPr="0074556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361FB" w:rsidRPr="00745561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D361FB" w:rsidRPr="00745561" w:rsidRDefault="00D361FB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Доходы за отчетный период составля</w:t>
            </w:r>
            <w:r w:rsidR="0067409A" w:rsidRPr="00745561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D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>1 100 145,2 тыс.</w:t>
            </w:r>
            <w:r w:rsidR="00FD314A">
              <w:rPr>
                <w:rFonts w:ascii="Times New Roman" w:hAnsi="Times New Roman" w:cs="Times New Roman"/>
                <w:i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</w:rPr>
              <w:t>тенге</w:t>
            </w:r>
          </w:p>
        </w:tc>
        <w:tc>
          <w:tcPr>
            <w:tcW w:w="1418" w:type="dxa"/>
            <w:shd w:val="clear" w:color="auto" w:fill="auto"/>
          </w:tcPr>
          <w:p w:rsidR="00D361FB" w:rsidRPr="00745561" w:rsidRDefault="00D361FB" w:rsidP="00D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>925 512,2 тыс.</w:t>
            </w:r>
            <w:r w:rsidR="00FD314A">
              <w:rPr>
                <w:rFonts w:ascii="Times New Roman" w:hAnsi="Times New Roman" w:cs="Times New Roman"/>
                <w:i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</w:rPr>
              <w:t>тенге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FD3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>1</w:t>
            </w:r>
            <w:r w:rsidR="00FD314A">
              <w:rPr>
                <w:rFonts w:ascii="Times New Roman" w:hAnsi="Times New Roman" w:cs="Times New Roman"/>
                <w:i/>
              </w:rPr>
              <w:t> </w:t>
            </w:r>
            <w:r w:rsidRPr="00745561">
              <w:rPr>
                <w:rFonts w:ascii="Times New Roman" w:hAnsi="Times New Roman" w:cs="Times New Roman"/>
                <w:i/>
              </w:rPr>
              <w:t>125</w:t>
            </w:r>
            <w:r w:rsidR="00FD314A">
              <w:rPr>
                <w:rFonts w:ascii="Times New Roman" w:hAnsi="Times New Roman" w:cs="Times New Roman"/>
                <w:i/>
              </w:rPr>
              <w:t> </w:t>
            </w:r>
            <w:r w:rsidRPr="00745561">
              <w:rPr>
                <w:rFonts w:ascii="Times New Roman" w:hAnsi="Times New Roman" w:cs="Times New Roman"/>
                <w:i/>
              </w:rPr>
              <w:t>466,2 тыс.</w:t>
            </w:r>
            <w:r w:rsidR="00FD314A">
              <w:rPr>
                <w:rFonts w:ascii="Times New Roman" w:hAnsi="Times New Roman" w:cs="Times New Roman"/>
                <w:i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</w:rPr>
              <w:t>тенге</w:t>
            </w:r>
          </w:p>
        </w:tc>
      </w:tr>
      <w:tr w:rsidR="00D361FB" w:rsidRPr="00745561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D361FB" w:rsidRPr="00745561" w:rsidRDefault="00D361FB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>Расходы всего за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 xml:space="preserve"> отчетный период составля</w:t>
            </w:r>
            <w:r w:rsidR="0067409A" w:rsidRPr="00745561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 xml:space="preserve">1 000 012 </w:t>
            </w:r>
            <w:r w:rsidRPr="00745561">
              <w:rPr>
                <w:rFonts w:ascii="Times New Roman" w:hAnsi="Times New Roman" w:cs="Times New Roman"/>
                <w:i/>
              </w:rPr>
              <w:t>тыс.</w:t>
            </w:r>
            <w:r w:rsidR="00FD314A">
              <w:rPr>
                <w:rFonts w:ascii="Times New Roman" w:hAnsi="Times New Roman" w:cs="Times New Roman"/>
                <w:i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</w:rPr>
              <w:t>тенге</w:t>
            </w:r>
          </w:p>
        </w:tc>
        <w:tc>
          <w:tcPr>
            <w:tcW w:w="1418" w:type="dxa"/>
            <w:shd w:val="clear" w:color="auto" w:fill="auto"/>
          </w:tcPr>
          <w:p w:rsidR="00C60E10" w:rsidRPr="00745561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879 165 </w:t>
            </w:r>
          </w:p>
          <w:p w:rsidR="00D361FB" w:rsidRPr="00745561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>тыс.</w:t>
            </w:r>
            <w:r w:rsidR="00FD314A">
              <w:rPr>
                <w:rFonts w:ascii="Times New Roman" w:hAnsi="Times New Roman" w:cs="Times New Roman"/>
                <w:i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</w:rPr>
              <w:t>тенге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FD314A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1 078 </w:t>
            </w:r>
            <w:r w:rsidR="00C60E10" w:rsidRPr="00745561">
              <w:rPr>
                <w:rFonts w:ascii="Times New Roman" w:hAnsi="Times New Roman" w:cs="Times New Roman"/>
                <w:i/>
              </w:rPr>
              <w:t>941,0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60E10" w:rsidRPr="00745561">
              <w:rPr>
                <w:rFonts w:ascii="Times New Roman" w:hAnsi="Times New Roman" w:cs="Times New Roman"/>
                <w:i/>
              </w:rPr>
              <w:t>тыс.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60E10" w:rsidRPr="00745561">
              <w:rPr>
                <w:rFonts w:ascii="Times New Roman" w:hAnsi="Times New Roman" w:cs="Times New Roman"/>
                <w:i/>
              </w:rPr>
              <w:t>тенге</w:t>
            </w:r>
          </w:p>
        </w:tc>
      </w:tr>
      <w:tr w:rsidR="00D361FB" w:rsidRPr="00745561" w:rsidTr="00FD314A">
        <w:trPr>
          <w:trHeight w:val="289"/>
        </w:trPr>
        <w:tc>
          <w:tcPr>
            <w:tcW w:w="426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D361FB" w:rsidRPr="00745561" w:rsidRDefault="00D361FB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Доходы от платных медицинских услуг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368 478 тыс.</w:t>
            </w:r>
            <w:r w:rsidR="00FD314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тенге</w:t>
            </w:r>
          </w:p>
        </w:tc>
        <w:tc>
          <w:tcPr>
            <w:tcW w:w="1418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469 816 тыс.</w:t>
            </w:r>
            <w:r w:rsidR="00FD314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тенге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415 845 тыс.</w:t>
            </w:r>
            <w:r w:rsidR="00FD314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тенге</w:t>
            </w:r>
          </w:p>
        </w:tc>
      </w:tr>
      <w:tr w:rsidR="00D361FB" w:rsidRPr="00745561" w:rsidTr="00FD314A">
        <w:trPr>
          <w:trHeight w:val="340"/>
        </w:trPr>
        <w:tc>
          <w:tcPr>
            <w:tcW w:w="426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D361FB" w:rsidRPr="00745561" w:rsidRDefault="00D361FB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Количество публикаций в рецензируемых журналах (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peer</w:t>
            </w:r>
            <w:proofErr w:type="spellEnd"/>
            <w:r w:rsidRPr="00745561">
              <w:rPr>
                <w:rFonts w:ascii="Times New Roman" w:hAnsi="Times New Roman" w:cs="Times New Roman"/>
                <w:i/>
              </w:rPr>
              <w:t xml:space="preserve"> - 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reviewed</w:t>
            </w:r>
            <w:proofErr w:type="spellEnd"/>
            <w:r w:rsidRPr="0074556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D361FB" w:rsidRPr="00745561" w:rsidTr="00FD314A">
        <w:trPr>
          <w:trHeight w:val="340"/>
        </w:trPr>
        <w:tc>
          <w:tcPr>
            <w:tcW w:w="426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D361FB" w:rsidRPr="00745561" w:rsidRDefault="00D361FB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Количество финансируемых научно-исследовательских программ (проектов), в т.ч. международны</w:t>
            </w:r>
            <w:r w:rsidR="0067409A" w:rsidRPr="00745561">
              <w:rPr>
                <w:rFonts w:ascii="Times New Roman" w:hAnsi="Times New Roman" w:cs="Times New Roman"/>
                <w:i/>
              </w:rPr>
              <w:t>х</w:t>
            </w:r>
            <w:r w:rsidRPr="00745561">
              <w:rPr>
                <w:rFonts w:ascii="Times New Roman" w:hAnsi="Times New Roman" w:cs="Times New Roman"/>
                <w:i/>
              </w:rPr>
              <w:t xml:space="preserve"> грант</w:t>
            </w:r>
            <w:r w:rsidR="0067409A" w:rsidRPr="00745561">
              <w:rPr>
                <w:rFonts w:ascii="Times New Roman" w:hAnsi="Times New Roman" w:cs="Times New Roman"/>
                <w:i/>
              </w:rPr>
              <w:t>ов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1D6991" w:rsidRPr="00745561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D6991" w:rsidRPr="00745561" w:rsidRDefault="001D6991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Количество пролеченных пациентов </w:t>
            </w:r>
          </w:p>
        </w:tc>
        <w:tc>
          <w:tcPr>
            <w:tcW w:w="1417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4587</w:t>
            </w:r>
          </w:p>
        </w:tc>
        <w:tc>
          <w:tcPr>
            <w:tcW w:w="1418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5021</w:t>
            </w:r>
          </w:p>
        </w:tc>
        <w:tc>
          <w:tcPr>
            <w:tcW w:w="1417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5421</w:t>
            </w:r>
          </w:p>
        </w:tc>
      </w:tr>
      <w:tr w:rsidR="001D6991" w:rsidRPr="00745561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1D6991" w:rsidRPr="00745561" w:rsidRDefault="001D6991" w:rsidP="00FD31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Летальность </w:t>
            </w:r>
          </w:p>
        </w:tc>
        <w:tc>
          <w:tcPr>
            <w:tcW w:w="1417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0,6%</w:t>
            </w:r>
          </w:p>
        </w:tc>
        <w:tc>
          <w:tcPr>
            <w:tcW w:w="1418" w:type="dxa"/>
            <w:shd w:val="clear" w:color="auto" w:fill="auto"/>
          </w:tcPr>
          <w:p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0,6%</w:t>
            </w:r>
          </w:p>
        </w:tc>
        <w:tc>
          <w:tcPr>
            <w:tcW w:w="1417" w:type="dxa"/>
            <w:shd w:val="clear" w:color="auto" w:fill="auto"/>
          </w:tcPr>
          <w:p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0,7%</w:t>
            </w:r>
          </w:p>
        </w:tc>
      </w:tr>
      <w:tr w:rsidR="001D6991" w:rsidRPr="00745561" w:rsidTr="00FD314A">
        <w:trPr>
          <w:trHeight w:val="70"/>
        </w:trPr>
        <w:tc>
          <w:tcPr>
            <w:tcW w:w="426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D7166" w:rsidRPr="00745561" w:rsidRDefault="001D6991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* Необходимо привести анализ </w:t>
      </w:r>
      <w:r w:rsidR="0067409A" w:rsidRPr="0074556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динамике показателей (с указанием инструментов достижения и не достижения, мероприятий по устранению) </w:t>
      </w:r>
    </w:p>
    <w:p w:rsidR="0044223C" w:rsidRPr="00263136" w:rsidRDefault="0044223C" w:rsidP="0059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CA1727" w:rsidRPr="00FD314A" w:rsidRDefault="00CA1727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</w:t>
      </w:r>
      <w:r w:rsidR="001F0DE3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ФИНАНСОВАЯ ОТЧЕТНОСТЬ И </w:t>
      </w:r>
      <w:r w:rsidRPr="00FD314A"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:rsidR="00315590" w:rsidRPr="00FD314A" w:rsidRDefault="00315590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5590" w:rsidRPr="00FD314A" w:rsidRDefault="00315590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:rsidR="00531FE9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Повышение эффективности финансового менеджмента, в том числе совершенствование тарифов на возмещение затрат за оказание медицинских услуг по ГОБМП:</w:t>
      </w:r>
    </w:p>
    <w:p w:rsidR="00E94210" w:rsidRPr="00FD314A" w:rsidRDefault="00E94210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1.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тарифной политики, в т.ч. формирование методологии возмещения затрат по клинико-затратным группам и </w:t>
      </w:r>
      <w:r w:rsidR="00961C95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внедрени</w:t>
      </w:r>
      <w:r w:rsidR="00961C95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уникальных инновационных технологий. </w:t>
      </w:r>
    </w:p>
    <w:p w:rsidR="00282DF4" w:rsidRPr="00FD314A" w:rsidRDefault="00282DF4" w:rsidP="00FD314A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Проведен анализ тарифов КЗГ, результаты которого</w:t>
      </w:r>
      <w:r w:rsidR="00961C95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целях повышения доходности</w:t>
      </w:r>
      <w:r w:rsidR="00961C95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озвучены и доведены на рабочем </w:t>
      </w:r>
      <w:r w:rsidR="00E94210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совещании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управленче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скому отчету (протокол № 2 от 24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8137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августа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201</w:t>
      </w:r>
      <w:r w:rsidR="00E8137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года) до </w:t>
      </w: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заведующих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клинических отделений.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2.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Использование амортизационных фондов.  </w:t>
      </w:r>
    </w:p>
    <w:p w:rsidR="00531FE9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Согласно бюджета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201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за счет средств амортизационного фонда предусмотрено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547 862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 на приобретение основных средств. Из них в отчетном году приобретено на сумму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342 541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</w:t>
      </w:r>
    </w:p>
    <w:p w:rsidR="00E94210" w:rsidRPr="00FD314A" w:rsidRDefault="00E94210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94210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3.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инвестиционной политики, включая формирование и функционирование базы данных инвестиционных проектов, аналитического сопровождения и системы монит</w:t>
      </w:r>
      <w:r w:rsidR="00E94210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оринга инвестиционных проектов.</w:t>
      </w:r>
    </w:p>
    <w:p w:rsidR="00E94210" w:rsidRPr="00FD314A" w:rsidRDefault="00E94210" w:rsidP="00FD314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294A" w:rsidRPr="00FD314A" w:rsidRDefault="00E94210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4.2 Отчет о прибыли</w:t>
      </w:r>
      <w:r w:rsidR="006F7A22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убытке и совокупном доходе</w:t>
      </w:r>
    </w:p>
    <w:p w:rsidR="00531FE9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доходов от платных медицинских услуг:</w:t>
      </w:r>
    </w:p>
    <w:p w:rsidR="0094294A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Мероприятие 1.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Формирование, совершенствование и расширение пакета платных услуг, увеличение платных коек.</w:t>
      </w:r>
    </w:p>
    <w:p w:rsidR="002946EF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За 201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в Прейскурант цен на платные </w:t>
      </w:r>
      <w:r w:rsidR="002946EF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услуги включены 4 новые услуги. 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проведенной работы по платным услугам за отчетный период наблюдается </w:t>
      </w:r>
      <w:r w:rsidRPr="00FD3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увеличение доходов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платных услуг. 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ак, за 201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фактические доходы от платных медицинских услуг в сумме 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составили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547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124 тыс.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тенге (в 2016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45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014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тенге) (116%) при плане – 405 326 тыс.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тенге.    </w:t>
      </w:r>
    </w:p>
    <w:p w:rsidR="00315590" w:rsidRPr="00FD314A" w:rsidRDefault="00315590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94210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2.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маркетинговой политики.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Решением Совета директоров утвержден Маркетинговый план </w:t>
      </w:r>
      <w:r w:rsidR="00630CA8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2017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год, согласно которому проводилась работа 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по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 основны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направления</w:t>
      </w:r>
      <w:r w:rsidR="004F316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1) Имидж (администрирование сайта; ведение официальных страниц </w:t>
      </w:r>
      <w:r w:rsidR="00630CA8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социальных сетях; продвижение сайта в социальных сетях, на форумах и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блог-платформах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информационное взаимодействие с отечественными и зарубежными СМИ; организация пресс-конференций, брифингов, интервью и т.д.). 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Еженедельно обновлялась информация на сайте</w:t>
      </w:r>
      <w:r w:rsidR="00435C02" w:rsidRPr="00FD314A">
        <w:rPr>
          <w:rFonts w:ascii="Times New Roman" w:hAnsi="Times New Roman" w:cs="Times New Roman"/>
          <w:sz w:val="24"/>
          <w:szCs w:val="24"/>
        </w:rPr>
        <w:t xml:space="preserve">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8F3069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(количество посетителей до </w:t>
      </w:r>
      <w:r w:rsidR="0079663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241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человек за сутки, до </w:t>
      </w:r>
      <w:r w:rsidR="0079663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2587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 в месяц), проведена работа по ведению официальных страниц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социальных сетях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Facebook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» (</w:t>
      </w:r>
      <w:r w:rsidR="0079663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1785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подписчиков),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Instagram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» (</w:t>
      </w:r>
      <w:r w:rsidR="0079663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5214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подписчиков). </w:t>
      </w:r>
      <w:r w:rsidR="0079663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поликлиник, </w:t>
      </w:r>
      <w:r w:rsidR="0079663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стационаров обе</w:t>
      </w:r>
      <w:r w:rsidR="00636BAA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спечены буклетами и </w:t>
      </w:r>
      <w:proofErr w:type="spellStart"/>
      <w:r w:rsidR="00636BAA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лифлетами</w:t>
      </w:r>
      <w:proofErr w:type="spellEnd"/>
      <w:r w:rsidR="00636BAA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="00636BAA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организован пресс-тур ведущих 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Республиканских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СМИ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, проведена рассылка в СМИ 40 пресс-релизов и фотоматериалов о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событиях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вышло 138 информационных материалов. 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Сбыт (развитие платных услуг; визовая поддержка; бизнес-партнерство со </w:t>
      </w: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страховыми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ас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истанс-компаниями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т.д.).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Перезаключено 17 договоров со страховыми и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ассистанс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компаниями, заключен договор с крупнейшей международной </w:t>
      </w:r>
      <w:proofErr w:type="spellStart"/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интернет-платформой</w:t>
      </w:r>
      <w:proofErr w:type="spellEnd"/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поиску врачей и организации лечения по всему миру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Medigo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», а также казахстанскими организациями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КазТрейдГруп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» и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Hospital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Service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Company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». 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3) Внутренний маркетинг (работа с персоналом; анкетирование; оптимизация потоков пациентов; различные проекты, направленные на улучшение комфорта и сервиса). 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Решением Правления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Организации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утверждена Дорожная карта в новой редакции. Составлен перечень товаров и услуг согласно Плану внедрения госпитального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сервиса. Выделен бюджет на 2017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на сумму 3 943 534 тенге.  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Увеличен график работы сотрудников отделов, оказывающих платные услуги, в частности, увеличена продолжительность работы кассы и отделения радиологии. 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результатам анкетирования по определению уровня удовлетворенности пациентов для удобства ухаживающих лиц организовано общежитие рядом с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также в лечебное и общественное питание добавлено больше овощей, фруктов и мяса.    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4) Внешний маркетинг (внешние маркетинговые исследования).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Проведены SWOT-анализ, PEST-анализ, анализ рыночной среды, мониторинг цен на услуги, аналогичные услугам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т.д.  </w:t>
      </w:r>
    </w:p>
    <w:p w:rsidR="00CB573D" w:rsidRPr="00FD314A" w:rsidRDefault="00CB573D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E94210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3.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Формирование эффективной системы направлений («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reference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») пациентов из других клиник.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отчетный период заключены агентские договора с крупнейшей международной </w:t>
      </w:r>
      <w:proofErr w:type="spellStart"/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интернет-платформой</w:t>
      </w:r>
      <w:proofErr w:type="spellEnd"/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поиску врачей и организации лечения по всему миру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Medigo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», с казахстанскими организациями: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КазТрейдГруп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» и «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Hospital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Service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Company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», а также с 19 врачами-агентами. Врачами-агентами направлено на лечение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51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пациентов, доход от лечения которых составил 1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247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тенге.  </w:t>
      </w:r>
    </w:p>
    <w:p w:rsidR="00282DF4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Врачами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осуществлено 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выездных консультаций и услуг в регионы, доход от которых составил 12 667, 0 тыс.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тенге. </w:t>
      </w:r>
    </w:p>
    <w:p w:rsidR="00973B6E" w:rsidRPr="00FD314A" w:rsidRDefault="00973B6E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94210" w:rsidRPr="00FD314A" w:rsidRDefault="00282DF4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Мероприятие 4.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Развитие эффективного сотрудничества с компаниями, в том числе со страховыми и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ассистанс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компаниями. 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сегодняшнее время в Казахстане функционируют 17 страховых и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ассистанс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компаний, с которыми заключены договора. Работа по </w:t>
      </w:r>
      <w:r w:rsidR="00E94210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взаимодействию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ними велась на постоянной основе (заключение договоров, пролонгация, заключение дополнительных соглашений, уведомления по поводу внесения изменений в прейскурант цен на платные медицинские услуги, внесение замечаний и предложений по поводу улучшения сервиса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). </w:t>
      </w:r>
    </w:p>
    <w:p w:rsidR="00282DF4" w:rsidRPr="00FD314A" w:rsidRDefault="00282DF4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отчетный период в рамках договоров по добровольному страхованию пролечено 80 пациентов, доход от </w:t>
      </w: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пациентов, пролеченных по договорам ДМС составил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25 217,8 тыс. тенге.</w:t>
      </w:r>
    </w:p>
    <w:p w:rsidR="00FF2E9F" w:rsidRPr="00FD314A" w:rsidRDefault="00FF2E9F" w:rsidP="00FD314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2E9F" w:rsidRPr="00FD314A" w:rsidRDefault="00FF2E9F" w:rsidP="00FD314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4.5. Оценка эффективности использования основных средств</w:t>
      </w:r>
    </w:p>
    <w:p w:rsidR="00FF2E9F" w:rsidRPr="00FD314A" w:rsidRDefault="00FF2E9F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За отчетный год доходы от платных медицинских услуг перевыполнены в сумме на 60 997 тыс. тенге (план 405 326 тыс.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тенге, факт 466 323 тыс.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тенге). Отмечается рост доли доходов от платных услуг на 3,5% в сравнении с прошлым годом и на 2,5% в сравнении с планом.  </w:t>
      </w:r>
    </w:p>
    <w:p w:rsidR="00FF2E9F" w:rsidRPr="00FD314A" w:rsidRDefault="00FF2E9F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Кроме того, в рамках договоров по добровольному медицинскому страхованию пролечено 80 пациентов, доход от которых в сумме 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составил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25 217,8 тыс. тенге, оказаны коммерческие образовательные услуги (повышение квалификации, переподготовка, стажировка на рабочем месте) на сумму 21 096 тыс. тенге, что на 12 978 тыс. тенге больше значений прошлого года (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2016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- 8 118,0 тыс. тенге).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Доходы от науки и образования в 2 раза превышают значения прошлого года (в 2015 году – 63 375 тыс. тенге, в 2016 году – 126 678 тыс. тенге). На 96% (в 1,9 раза) от значения прошлого года превышают доходы от вознаграждения по депозитам (в 2015 году – 63 203 тыс.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тенге, в 2016 году – 124 043 тыс.</w:t>
      </w:r>
      <w:r w:rsidR="00011516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тенге).          </w:t>
      </w:r>
    </w:p>
    <w:p w:rsidR="00FF2E9F" w:rsidRPr="00FD314A" w:rsidRDefault="00FF2E9F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Итого, за отчетный период доходы всего составили в сумме 5 311 900 тыс. тенге, что на 939 376 тыс. тенге превышает плановое значение </w:t>
      </w: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согласно Плана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развития, но на 446 694 тыс. тенге меньше в сравнении с фактом прошлого года (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2016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- 5 758 594 тыс. тенге). В общей структуре доходов 4 243 375 тыс. тенге (79,9%) составляет ГОБМП и 1 068 525 тыс. тенге (20,1%) другие доходы. Доход на 1 койку на 4,4 млн. тенге превыш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ают доходы прошлого года (в 2016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29,3 млн. тенге, в 2016 году – 33,7 млн. тенге) и на 6,0 млн. тенге от плановых значений (план – 27,7 млн. тенге).  </w:t>
      </w:r>
    </w:p>
    <w:p w:rsidR="00FF2E9F" w:rsidRPr="00FD314A" w:rsidRDefault="00FF2E9F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Вместе с тем, порогового значения </w:t>
      </w:r>
      <w:proofErr w:type="gram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не достигли</w:t>
      </w:r>
      <w:proofErr w:type="gram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финансовые индикаторы: </w:t>
      </w:r>
    </w:p>
    <w:p w:rsidR="00FF2E9F" w:rsidRPr="00FD314A" w:rsidRDefault="00FF2E9F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«Амортизационный коэффициент» (при плане 38%</w:t>
      </w:r>
      <w:r w:rsidR="00BD081D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факт – 41,8%).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Недостижение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индикатора связано с переносом проведения капитального ремонта и приобретения основных средств с 2016 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года на 2017 год. По итогам 2017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 ожидалось увеличение балансовой стоимости фиксированных активов, которое было принято для расчета коэффициента.  </w:t>
      </w:r>
    </w:p>
    <w:p w:rsidR="00FF2E9F" w:rsidRPr="00FD314A" w:rsidRDefault="00FF2E9F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«Рентабельность (эффективная деятельность)» (план – 0,8%, факт – 0,01%).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Недостижение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индикатора связано с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неосвоением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плана финансового результата согласно Плану развития в сумме 13 056 тыс. тенге. При эт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ом утвержденным бюджетом на 2017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был запланирован убыток (-122 067 тыс. тенге</w:t>
      </w:r>
      <w:r w:rsidR="00BD081D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, несмотря на это, по итогам отчетного года индикатор улучшен (692,0 тыс. тенге).</w:t>
      </w:r>
    </w:p>
    <w:p w:rsidR="00FF2E9F" w:rsidRPr="00FD314A" w:rsidRDefault="00FF2E9F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«Рентабельность активов (ROA)» (план – 0,4%, факт – 0,01%).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Недостижение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индикатора связано с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неосвоением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плана финансового результата согласно Плану развития в сумме 13 056 тыс. тенге. При эт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ом утвержденным бюджетом на 2017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был запланирован убыток (-122 067тыс. тенге</w:t>
      </w:r>
      <w:r w:rsidR="00BD081D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, несмотря на это, по итогам отчетного года индикатор улучшен (692,0 тыс. тенге).</w:t>
      </w:r>
    </w:p>
    <w:p w:rsidR="00E56CCD" w:rsidRPr="00FD314A" w:rsidRDefault="00E56CCD" w:rsidP="00FD314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5590" w:rsidRPr="00FD314A" w:rsidRDefault="002946EF" w:rsidP="00FD314A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4.6. Повышение доли внебюджетных средств в объеме дохода</w:t>
      </w:r>
    </w:p>
    <w:p w:rsidR="00315590" w:rsidRPr="00FD314A" w:rsidRDefault="00282DF4" w:rsidP="00FD314A">
      <w:pPr>
        <w:pStyle w:val="a4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Привлечение дополнительных источников финансирования:</w:t>
      </w:r>
    </w:p>
    <w:p w:rsidR="002946EF" w:rsidRPr="00FD314A" w:rsidRDefault="00282DF4" w:rsidP="00FD314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Мероприятие 1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Проведение работы по передаче в аренду и реализации неиспользуемых активов, помещения и немедицинского оборудования. </w:t>
      </w:r>
    </w:p>
    <w:p w:rsidR="00FF2E9F" w:rsidRPr="00FD314A" w:rsidRDefault="00FF2E9F" w:rsidP="00FD314A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4294A" w:rsidRPr="00FD314A" w:rsidRDefault="00282DF4" w:rsidP="00FD314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2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. Оказание коммерческих образовательных услуг.</w:t>
      </w:r>
      <w:r w:rsidR="00E94210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FF2E9F" w:rsidRPr="00FD314A" w:rsidRDefault="00435C02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282DF4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2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017</w:t>
      </w:r>
      <w:r w:rsidR="00282DF4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оказаны коммерческие образовательные услуги (повышение квалификации, переподготовка, стажировка на рабочем месте) на сумму 21 096,0 тыс. тенге (в 2</w:t>
      </w:r>
      <w:r w:rsidR="0082291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016</w:t>
      </w:r>
      <w:r w:rsidR="00C44B6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8 118,0 тыс. тенге).</w:t>
      </w:r>
    </w:p>
    <w:p w:rsidR="00852F64" w:rsidRPr="00FD314A" w:rsidRDefault="00852F64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261C8B" w:rsidRPr="00FD314A" w:rsidRDefault="00261C8B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D5732" w:rsidRPr="00FD31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314A">
        <w:rPr>
          <w:rFonts w:ascii="Times New Roman" w:hAnsi="Times New Roman" w:cs="Times New Roman"/>
          <w:b/>
          <w:bCs/>
          <w:sz w:val="24"/>
          <w:szCs w:val="24"/>
        </w:rPr>
        <w:t>. ПАЦИЕНТЫ</w:t>
      </w:r>
    </w:p>
    <w:p w:rsidR="00096EC8" w:rsidRPr="00FD314A" w:rsidRDefault="00096EC8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EC8" w:rsidRPr="00FD314A" w:rsidRDefault="005D5732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sz w:val="24"/>
          <w:szCs w:val="24"/>
        </w:rPr>
        <w:t>5.1</w:t>
      </w:r>
      <w:r w:rsidR="009D32F7" w:rsidRPr="00FD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FD314A">
        <w:rPr>
          <w:rFonts w:ascii="Times New Roman" w:hAnsi="Times New Roman" w:cs="Times New Roman"/>
          <w:b/>
          <w:sz w:val="24"/>
          <w:szCs w:val="24"/>
        </w:rPr>
        <w:t>Привлечение (прикрепление)</w:t>
      </w:r>
      <w:r w:rsidR="009D32F7" w:rsidRPr="00FD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FD314A">
        <w:rPr>
          <w:rFonts w:ascii="Times New Roman" w:hAnsi="Times New Roman" w:cs="Times New Roman"/>
          <w:b/>
          <w:sz w:val="24"/>
          <w:szCs w:val="24"/>
        </w:rPr>
        <w:t>пациентов</w:t>
      </w:r>
    </w:p>
    <w:p w:rsidR="00802476" w:rsidRPr="00FD314A" w:rsidRDefault="00A67FF3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За 2017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 xml:space="preserve"> год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 xml:space="preserve"> было пролечено </w:t>
      </w:r>
      <w:r w:rsidRPr="00FD314A">
        <w:rPr>
          <w:rFonts w:ascii="Times New Roman" w:hAnsi="Times New Roman" w:cs="Times New Roman"/>
          <w:i/>
          <w:sz w:val="24"/>
          <w:szCs w:val="24"/>
        </w:rPr>
        <w:t>542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 xml:space="preserve">1 пациент (в рамках ГОБМП + на платной основе), что на </w:t>
      </w:r>
      <w:r w:rsidRPr="00FD314A">
        <w:rPr>
          <w:rFonts w:ascii="Times New Roman" w:hAnsi="Times New Roman" w:cs="Times New Roman"/>
          <w:i/>
          <w:sz w:val="24"/>
          <w:szCs w:val="24"/>
        </w:rPr>
        <w:t>5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>,</w:t>
      </w:r>
      <w:r w:rsidRPr="00FD314A">
        <w:rPr>
          <w:rFonts w:ascii="Times New Roman" w:hAnsi="Times New Roman" w:cs="Times New Roman"/>
          <w:i/>
          <w:sz w:val="24"/>
          <w:szCs w:val="24"/>
        </w:rPr>
        <w:t>4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 xml:space="preserve">% </w:t>
      </w:r>
      <w:r w:rsidR="00BD081D" w:rsidRPr="00FD314A">
        <w:rPr>
          <w:rFonts w:ascii="Times New Roman" w:hAnsi="Times New Roman" w:cs="Times New Roman"/>
          <w:i/>
          <w:sz w:val="24"/>
          <w:szCs w:val="24"/>
        </w:rPr>
        <w:t xml:space="preserve">больше 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>по сравнению с по</w:t>
      </w:r>
      <w:r w:rsidRPr="00FD314A">
        <w:rPr>
          <w:rFonts w:ascii="Times New Roman" w:hAnsi="Times New Roman" w:cs="Times New Roman"/>
          <w:i/>
          <w:sz w:val="24"/>
          <w:szCs w:val="24"/>
        </w:rPr>
        <w:t>казател</w:t>
      </w:r>
      <w:r w:rsidR="00BD081D" w:rsidRPr="00FD314A">
        <w:rPr>
          <w:rFonts w:ascii="Times New Roman" w:hAnsi="Times New Roman" w:cs="Times New Roman"/>
          <w:i/>
          <w:sz w:val="24"/>
          <w:szCs w:val="24"/>
        </w:rPr>
        <w:t>я</w:t>
      </w:r>
      <w:r w:rsidRPr="00FD314A">
        <w:rPr>
          <w:rFonts w:ascii="Times New Roman" w:hAnsi="Times New Roman" w:cs="Times New Roman"/>
          <w:i/>
          <w:sz w:val="24"/>
          <w:szCs w:val="24"/>
        </w:rPr>
        <w:t>м</w:t>
      </w:r>
      <w:r w:rsidR="00BD081D" w:rsidRPr="00FD314A">
        <w:rPr>
          <w:rFonts w:ascii="Times New Roman" w:hAnsi="Times New Roman" w:cs="Times New Roman"/>
          <w:i/>
          <w:sz w:val="24"/>
          <w:szCs w:val="24"/>
        </w:rPr>
        <w:t>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прошл</w:t>
      </w:r>
      <w:r w:rsidR="00BD081D" w:rsidRPr="00FD314A">
        <w:rPr>
          <w:rFonts w:ascii="Times New Roman" w:hAnsi="Times New Roman" w:cs="Times New Roman"/>
          <w:i/>
          <w:sz w:val="24"/>
          <w:szCs w:val="24"/>
        </w:rPr>
        <w:t>ых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81D" w:rsidRPr="00FD314A">
        <w:rPr>
          <w:rFonts w:ascii="Times New Roman" w:hAnsi="Times New Roman" w:cs="Times New Roman"/>
          <w:i/>
          <w:sz w:val="24"/>
          <w:szCs w:val="24"/>
        </w:rPr>
        <w:t xml:space="preserve">лет </w:t>
      </w:r>
      <w:r w:rsidRPr="00FD314A">
        <w:rPr>
          <w:rFonts w:ascii="Times New Roman" w:hAnsi="Times New Roman" w:cs="Times New Roman"/>
          <w:i/>
          <w:sz w:val="24"/>
          <w:szCs w:val="24"/>
        </w:rPr>
        <w:t>(за 2016 г. – 5128, за 2015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 xml:space="preserve"> г. – </w:t>
      </w:r>
      <w:r w:rsidRPr="00FD314A">
        <w:rPr>
          <w:rFonts w:ascii="Times New Roman" w:hAnsi="Times New Roman" w:cs="Times New Roman"/>
          <w:i/>
          <w:sz w:val="24"/>
          <w:szCs w:val="24"/>
        </w:rPr>
        <w:t>4952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>, за 201</w:t>
      </w:r>
      <w:r w:rsidRPr="00FD314A">
        <w:rPr>
          <w:rFonts w:ascii="Times New Roman" w:hAnsi="Times New Roman" w:cs="Times New Roman"/>
          <w:i/>
          <w:sz w:val="24"/>
          <w:szCs w:val="24"/>
        </w:rPr>
        <w:t>4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 xml:space="preserve"> г. – </w:t>
      </w:r>
      <w:r w:rsidRPr="00FD314A">
        <w:rPr>
          <w:rFonts w:ascii="Times New Roman" w:hAnsi="Times New Roman" w:cs="Times New Roman"/>
          <w:i/>
          <w:sz w:val="24"/>
          <w:szCs w:val="24"/>
        </w:rPr>
        <w:t>4901</w:t>
      </w:r>
      <w:r w:rsidR="00802476" w:rsidRPr="00FD314A">
        <w:rPr>
          <w:rFonts w:ascii="Times New Roman" w:hAnsi="Times New Roman" w:cs="Times New Roman"/>
          <w:i/>
          <w:sz w:val="24"/>
          <w:szCs w:val="24"/>
        </w:rPr>
        <w:t xml:space="preserve"> пациентов)</w:t>
      </w:r>
      <w:r w:rsidR="005A3225" w:rsidRPr="00FD314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294A" w:rsidRPr="00FD314A" w:rsidRDefault="005A3225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Стационарные койки в целом по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, и в разрезе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структурных подразделении в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 работали в интенсивном режиме, о чем свидетельствует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366 дней работы койки в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году, (нормативная нагрузка работы койки для хирургических коек в РК – 340 дней в год).</w:t>
      </w:r>
    </w:p>
    <w:p w:rsidR="005A3225" w:rsidRPr="00FD314A" w:rsidRDefault="005A3225" w:rsidP="00FD314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Доля иногород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них пациентов из регионов в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 с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оставила 84% против 81% в 2016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году. Наибольший удельный вес среди пациентов составили жители Астаны –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16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%, Южно-Казахстанской –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12,4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%, Восточно-Казахстанской –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8,9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% и 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Акмолинской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7,8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% областей. </w:t>
      </w: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 xml:space="preserve">Наименьшее количество пролеченных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пациентов составили жители из Павлодарской – 2,3</w:t>
      </w:r>
      <w:r w:rsidR="00BD081D" w:rsidRPr="00FD314A">
        <w:rPr>
          <w:rFonts w:ascii="Times New Roman" w:hAnsi="Times New Roman" w:cs="Times New Roman"/>
          <w:i/>
          <w:sz w:val="24"/>
          <w:szCs w:val="24"/>
        </w:rPr>
        <w:t>%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Жамбылской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– 3%, и Актюбинской – 3,4% областей</w:t>
      </w:r>
      <w:r w:rsidR="003D2667" w:rsidRPr="00FD31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A3225" w:rsidRPr="00FD314A" w:rsidRDefault="005A3225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Организационно-методическая работа</w:t>
      </w:r>
    </w:p>
    <w:p w:rsidR="00802476" w:rsidRPr="00FD314A" w:rsidRDefault="00A67FF3" w:rsidP="00FD314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По итогам 2017</w:t>
      </w:r>
      <w:r w:rsidR="005A3225" w:rsidRPr="00FD314A">
        <w:rPr>
          <w:rFonts w:ascii="Times New Roman" w:hAnsi="Times New Roman" w:cs="Times New Roman"/>
          <w:i/>
          <w:sz w:val="24"/>
          <w:szCs w:val="24"/>
        </w:rPr>
        <w:t xml:space="preserve"> года было организовано </w:t>
      </w:r>
      <w:r w:rsidRPr="00FD314A">
        <w:rPr>
          <w:rFonts w:ascii="Times New Roman" w:hAnsi="Times New Roman" w:cs="Times New Roman"/>
          <w:i/>
          <w:sz w:val="24"/>
          <w:szCs w:val="24"/>
        </w:rPr>
        <w:t>35</w:t>
      </w:r>
      <w:r w:rsidR="005A3225" w:rsidRPr="00FD314A">
        <w:rPr>
          <w:rFonts w:ascii="Times New Roman" w:hAnsi="Times New Roman" w:cs="Times New Roman"/>
          <w:i/>
          <w:sz w:val="24"/>
          <w:szCs w:val="24"/>
        </w:rPr>
        <w:t xml:space="preserve"> плановых выездов в регионы республики. При выездах проконсультировано </w:t>
      </w:r>
      <w:r w:rsidRPr="00FD314A">
        <w:rPr>
          <w:rFonts w:ascii="Times New Roman" w:hAnsi="Times New Roman" w:cs="Times New Roman"/>
          <w:i/>
          <w:sz w:val="24"/>
          <w:szCs w:val="24"/>
        </w:rPr>
        <w:t>685</w:t>
      </w:r>
      <w:r w:rsidR="005A3225" w:rsidRPr="00FD314A">
        <w:rPr>
          <w:rFonts w:ascii="Times New Roman" w:hAnsi="Times New Roman" w:cs="Times New Roman"/>
          <w:i/>
          <w:sz w:val="24"/>
          <w:szCs w:val="24"/>
        </w:rPr>
        <w:t xml:space="preserve"> пациентов</w:t>
      </w:r>
      <w:r w:rsidRPr="00FD314A">
        <w:rPr>
          <w:rFonts w:ascii="Times New Roman" w:hAnsi="Times New Roman" w:cs="Times New Roman"/>
          <w:i/>
          <w:sz w:val="24"/>
          <w:szCs w:val="24"/>
        </w:rPr>
        <w:t>, из них 258</w:t>
      </w:r>
      <w:r w:rsidR="005A3225" w:rsidRPr="00FD314A">
        <w:rPr>
          <w:rFonts w:ascii="Times New Roman" w:hAnsi="Times New Roman" w:cs="Times New Roman"/>
          <w:i/>
          <w:sz w:val="24"/>
          <w:szCs w:val="24"/>
        </w:rPr>
        <w:t xml:space="preserve"> больных были отобраны на оперативное лечение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C51C4F" w:rsidRPr="00FD314A">
        <w:rPr>
          <w:rFonts w:ascii="Times New Roman" w:hAnsi="Times New Roman" w:cs="Times New Roman"/>
          <w:i/>
          <w:sz w:val="24"/>
          <w:szCs w:val="24"/>
        </w:rPr>
        <w:t>.</w:t>
      </w:r>
    </w:p>
    <w:p w:rsidR="009F1E67" w:rsidRPr="00FD314A" w:rsidRDefault="0082291C" w:rsidP="00FD314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В 2017</w:t>
      </w:r>
      <w:r w:rsidR="009F1E67" w:rsidRPr="00FD314A">
        <w:rPr>
          <w:rFonts w:ascii="Times New Roman" w:hAnsi="Times New Roman" w:cs="Times New Roman"/>
          <w:i/>
          <w:sz w:val="24"/>
          <w:szCs w:val="24"/>
        </w:rPr>
        <w:t xml:space="preserve"> г. было организовано 97 заочных дистанционных консультаций с регионами, при которых было проконсультировано 1822, из них 402 ребенка были отобраны на оперативное лечение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9F1E67" w:rsidRPr="00FD314A">
        <w:rPr>
          <w:rFonts w:ascii="Times New Roman" w:hAnsi="Times New Roman" w:cs="Times New Roman"/>
          <w:i/>
          <w:sz w:val="24"/>
          <w:szCs w:val="24"/>
        </w:rPr>
        <w:t>, даны рекомендации 523 детям.</w:t>
      </w:r>
    </w:p>
    <w:p w:rsidR="00367D6D" w:rsidRPr="00FD314A" w:rsidRDefault="009F1E67" w:rsidP="00FD314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По линии «Санитарной авиации» было осуществлено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47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вылета в регионы к </w:t>
      </w:r>
      <w:r w:rsidR="00A67FF3" w:rsidRPr="00FD314A">
        <w:rPr>
          <w:rFonts w:ascii="Times New Roman" w:hAnsi="Times New Roman" w:cs="Times New Roman"/>
          <w:i/>
          <w:sz w:val="24"/>
          <w:szCs w:val="24"/>
        </w:rPr>
        <w:t>59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пациентам.</w:t>
      </w:r>
      <w:r w:rsidR="00367D6D"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1C4F" w:rsidRPr="00FD314A" w:rsidRDefault="00C51C4F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4F" w:rsidRPr="00FD314A" w:rsidRDefault="00C51C4F" w:rsidP="00FD314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sz w:val="24"/>
          <w:szCs w:val="24"/>
        </w:rPr>
        <w:t>5.2. Удовлетворенность пациентов услугами медицинской организации. Работа с жалобами.</w:t>
      </w:r>
    </w:p>
    <w:p w:rsidR="00C51C4F" w:rsidRPr="00FD314A" w:rsidRDefault="00C51C4F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С целью улучшения качества обслуживания на основе анализа мнений и предложений пациентов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ежемесячно проводится анкетирование пациентов. По результатам проведенных </w:t>
      </w: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анкетировании</w:t>
      </w:r>
      <w:proofErr w:type="gram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за отчетный период отмечается увеличение удовлетворенности пациентов до 96,7% против 95% в 201</w:t>
      </w:r>
      <w:r w:rsidR="0082291C" w:rsidRPr="00FD314A">
        <w:rPr>
          <w:rFonts w:ascii="Times New Roman" w:hAnsi="Times New Roman" w:cs="Times New Roman"/>
          <w:i/>
          <w:sz w:val="24"/>
          <w:szCs w:val="24"/>
        </w:rPr>
        <w:t>6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году. Данный факт связан с активной работой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435C02"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</w:rPr>
        <w:t>в 2016 году по развитию госпитального сервиса. Кроме того, согласно приказу и.о. Министра здравоохранения РК от 22 июля 2011 года № 468 по запросу РГП «РЦРЗ» проводится анкетирование стационарных пациентов и пациентов, получивших консультативно-диагностические услуги, результаты которого составило также более 96%.</w:t>
      </w:r>
    </w:p>
    <w:p w:rsidR="00C51C4F" w:rsidRPr="00FD314A" w:rsidRDefault="00C51C4F" w:rsidP="00FD314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С целью мониторинга состояния пациента после выписки (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Follow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>) в выписном эпикризе врачами указывается дата повторного осмотра для контроля эффективности проведенного лечения и решения тактики дальнейшего ведения пациента. Также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,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в РГП «РЦРЗ» внесено предложение о том, что для ведения мониторинга после выписки необходимо между собой интегрировать такие программные комплексы как «РПН», «АИС», «ЭРСБ», «ЭРОБ», «ЭРДБ» и предоставить доступ соответствующим медицинским организациям на данные программы.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C51C4F" w:rsidRPr="00FD314A" w:rsidRDefault="00C51C4F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C4F" w:rsidRPr="00FD314A" w:rsidRDefault="00C51C4F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5.3. Работа с пациентами, управление структурой госпитализированных пациентов. </w:t>
      </w:r>
    </w:p>
    <w:p w:rsidR="00C51C4F" w:rsidRPr="00FD314A" w:rsidRDefault="003D2667" w:rsidP="00FD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отмечается увеличение об</w:t>
      </w:r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орота койки на 9%</w:t>
      </w:r>
      <w:r w:rsidR="00543935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32,1 в 2016 г. до 35 в 2017г., при плане 32,5 </w:t>
      </w:r>
      <w:proofErr w:type="gramStart"/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2017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г. </w:t>
      </w:r>
      <w:proofErr w:type="gramStart"/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При этом, количество поступивших больных увеличилось на 10%</w:t>
      </w:r>
      <w:r w:rsidR="00543935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5874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поступивших</w:t>
      </w:r>
      <w:r w:rsidR="0082291C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больных за 2016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г, до </w:t>
      </w:r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6461 </w:t>
      </w:r>
      <w:r w:rsidR="0082291C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в 2017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г.; увеличило</w:t>
      </w:r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сь количество выписанных за 2017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 на 9%, что сос</w:t>
      </w:r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тав</w:t>
      </w:r>
      <w:r w:rsidR="00543935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76445E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ло 6945 против 6360 за 2016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proofErr w:type="gramEnd"/>
    </w:p>
    <w:p w:rsidR="003D2667" w:rsidRPr="00FD314A" w:rsidRDefault="003D2667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sz w:val="24"/>
          <w:szCs w:val="24"/>
        </w:rPr>
        <w:t xml:space="preserve">Доля </w:t>
      </w:r>
      <w:proofErr w:type="gramStart"/>
      <w:r w:rsidRPr="00FD314A">
        <w:rPr>
          <w:rFonts w:ascii="Times New Roman" w:hAnsi="Times New Roman" w:cs="Times New Roman"/>
          <w:bCs/>
          <w:i/>
          <w:sz w:val="24"/>
          <w:szCs w:val="24"/>
        </w:rPr>
        <w:t>пацие</w:t>
      </w:r>
      <w:r w:rsidR="0076445E" w:rsidRPr="00FD314A">
        <w:rPr>
          <w:rFonts w:ascii="Times New Roman" w:hAnsi="Times New Roman" w:cs="Times New Roman"/>
          <w:bCs/>
          <w:i/>
          <w:sz w:val="24"/>
          <w:szCs w:val="24"/>
        </w:rPr>
        <w:t>нтов, пролеченных по ВСМП в 2017</w:t>
      </w:r>
      <w:r w:rsidRPr="00FD314A">
        <w:rPr>
          <w:rFonts w:ascii="Times New Roman" w:hAnsi="Times New Roman" w:cs="Times New Roman"/>
          <w:bCs/>
          <w:i/>
          <w:sz w:val="24"/>
          <w:szCs w:val="24"/>
        </w:rPr>
        <w:t xml:space="preserve"> году составила</w:t>
      </w:r>
      <w:proofErr w:type="gramEnd"/>
      <w:r w:rsidRPr="00FD314A">
        <w:rPr>
          <w:rFonts w:ascii="Times New Roman" w:hAnsi="Times New Roman" w:cs="Times New Roman"/>
          <w:bCs/>
          <w:i/>
          <w:sz w:val="24"/>
          <w:szCs w:val="24"/>
        </w:rPr>
        <w:t xml:space="preserve"> 57,4% при </w:t>
      </w:r>
      <w:r w:rsidR="0076445E" w:rsidRPr="00FD314A">
        <w:rPr>
          <w:rFonts w:ascii="Times New Roman" w:hAnsi="Times New Roman" w:cs="Times New Roman"/>
          <w:bCs/>
          <w:i/>
          <w:sz w:val="24"/>
          <w:szCs w:val="24"/>
        </w:rPr>
        <w:t>плане 43,5% против 56,3% в 2016</w:t>
      </w:r>
      <w:r w:rsidRPr="00FD314A">
        <w:rPr>
          <w:rFonts w:ascii="Times New Roman" w:hAnsi="Times New Roman" w:cs="Times New Roman"/>
          <w:bCs/>
          <w:i/>
          <w:sz w:val="24"/>
          <w:szCs w:val="24"/>
        </w:rPr>
        <w:t xml:space="preserve"> году.</w:t>
      </w:r>
    </w:p>
    <w:p w:rsidR="00C72D92" w:rsidRPr="00FD314A" w:rsidRDefault="00C72D92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73D" w:rsidRPr="00FD314A" w:rsidRDefault="00367D6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bCs/>
          <w:sz w:val="24"/>
          <w:szCs w:val="24"/>
        </w:rPr>
        <w:t>5.4. Безопасность пациентов</w:t>
      </w:r>
    </w:p>
    <w:p w:rsidR="009435ED" w:rsidRPr="00FD314A" w:rsidRDefault="009435E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В рамках подготовки к прохождению аккредитации осуществлены следующие мероприятия:</w:t>
      </w:r>
    </w:p>
    <w:p w:rsidR="009435ED" w:rsidRPr="00FD314A" w:rsidRDefault="009435E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проведена оценка 8 индикаторов по 6 Международным целям по безопасности пациентов;</w:t>
      </w:r>
    </w:p>
    <w:p w:rsidR="009435ED" w:rsidRPr="00FD314A" w:rsidRDefault="009435E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внедрены 29 индикатор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ов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качества и 24 приоритетны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х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работ для выполнения проектов по повышению эффективности работы в каждом клиническом и 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параклиническом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подразделениях;</w:t>
      </w:r>
    </w:p>
    <w:p w:rsidR="009435ED" w:rsidRPr="00FD314A" w:rsidRDefault="009435E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пересмотрены 44 правил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а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для сотрудников, описывающи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х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процессы и процедуры от приема пациента в приемном покое до его выписки, а также внедрены формы медицинской документации в соответствии с международными требованиями; </w:t>
      </w:r>
    </w:p>
    <w:p w:rsidR="009435ED" w:rsidRPr="00FD314A" w:rsidRDefault="009435E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пересмотрены 56 клинических протоколов диагностики и лечения пациентов, созданных на основе лучших мировых практик и доказательной медицины; </w:t>
      </w:r>
    </w:p>
    <w:p w:rsidR="009435ED" w:rsidRPr="00FD314A" w:rsidRDefault="009435E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пересмотрены</w:t>
      </w:r>
      <w:proofErr w:type="gram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16 Стандартных операционны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х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процедур (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СОП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>) для среднего и младшего медицинского персонала, соответствующи</w:t>
      </w:r>
      <w:r w:rsidR="00543935" w:rsidRPr="00FD314A">
        <w:rPr>
          <w:rFonts w:ascii="Times New Roman" w:hAnsi="Times New Roman" w:cs="Times New Roman"/>
          <w:i/>
          <w:sz w:val="24"/>
          <w:szCs w:val="24"/>
        </w:rPr>
        <w:t>х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международным; </w:t>
      </w:r>
    </w:p>
    <w:p w:rsidR="009435ED" w:rsidRPr="00FD314A" w:rsidRDefault="009435ED" w:rsidP="00FD31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в области анестезиологии и реанимации 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переутверждено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«Руководство по анестезии и 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седации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», разработаны и внедрены 28 алгоритмов проведения манипуляций. </w:t>
      </w:r>
    </w:p>
    <w:p w:rsidR="009435ED" w:rsidRPr="00FD314A" w:rsidRDefault="009435ED" w:rsidP="00FD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9F1E67" w:rsidRPr="00FD314A" w:rsidRDefault="009F1E67" w:rsidP="00FD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Внедрение и обеспечение трансферта современных и высокоэффективных медицинских технологий</w:t>
      </w:r>
    </w:p>
    <w:p w:rsidR="00C51C4F" w:rsidRPr="00FD314A" w:rsidRDefault="005375D9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На конец</w:t>
      </w:r>
      <w:proofErr w:type="gramEnd"/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2017</w:t>
      </w:r>
      <w:r w:rsidR="009F1E67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 Объединенной комиссией по качеству медицинских услуг (далее – ОКК) МЗ РК был</w:t>
      </w:r>
      <w:r w:rsidR="00543935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9F1E67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одобрен</w:t>
      </w:r>
      <w:r w:rsidR="00543935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="009F1E67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 новые медицинские технологии по диагностике и лечению заболеваний. С момента открытия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BC3502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9F1E67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ОКК МЗ</w:t>
      </w:r>
      <w:r w:rsidR="00C51C4F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РК одобрено 16</w:t>
      </w:r>
      <w:r w:rsidR="009F1E67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новых техно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логий, проведено 1</w:t>
      </w:r>
      <w:r w:rsidR="00C51C4F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789</w:t>
      </w:r>
      <w:r w:rsidR="00C51C4F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операций</w:t>
      </w:r>
      <w:r w:rsidR="009F1E67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C51C4F" w:rsidRPr="00FD314A" w:rsidRDefault="009435ED" w:rsidP="00FD31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В связи с внедрением новых технологий важнейшим механизмом трансферта является обучение и повышение квалификации специалистов из регионов. Продолжается консультация по отбору тяжелых больных с ВПС</w:t>
      </w:r>
      <w:r w:rsidR="00BC3502" w:rsidRPr="00FD314A">
        <w:rPr>
          <w:rFonts w:ascii="Times New Roman" w:hAnsi="Times New Roman" w:cs="Times New Roman"/>
          <w:i/>
          <w:sz w:val="24"/>
          <w:szCs w:val="24"/>
        </w:rPr>
        <w:t>,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подлежащих на оперативное лечение, дистанционное участие в мастер-классах, проведение семинаров по актуальным вопросам кардиохирургии, кардиологии и интервенционной кардиологии. Количество проведенных на базе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мастер-классов специалистов (независимо от источников финансирования) </w:t>
      </w:r>
      <w:r w:rsidR="005375D9" w:rsidRPr="00FD314A">
        <w:rPr>
          <w:rFonts w:ascii="Times New Roman" w:hAnsi="Times New Roman" w:cs="Times New Roman"/>
          <w:i/>
          <w:sz w:val="24"/>
          <w:szCs w:val="24"/>
        </w:rPr>
        <w:t>составило 40 за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год. За 201</w:t>
      </w:r>
      <w:r w:rsidR="005375D9" w:rsidRPr="00FD314A">
        <w:rPr>
          <w:rFonts w:ascii="Times New Roman" w:hAnsi="Times New Roman" w:cs="Times New Roman"/>
          <w:i/>
          <w:sz w:val="24"/>
          <w:szCs w:val="24"/>
        </w:rPr>
        <w:t>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г. было проведено 15 мастер-классов с участием зарубежных специалистов. </w:t>
      </w: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Из них 3 мастер-класса проведены в рамках 059 бюджетной программы.</w:t>
      </w:r>
      <w:proofErr w:type="gram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Результатом данных мастер-классов является 3 акта внедрения </w:t>
      </w:r>
      <w:r w:rsidR="00BC3502" w:rsidRPr="00FD314A">
        <w:rPr>
          <w:rFonts w:ascii="Times New Roman" w:hAnsi="Times New Roman" w:cs="Times New Roman"/>
          <w:i/>
          <w:sz w:val="24"/>
          <w:szCs w:val="24"/>
        </w:rPr>
        <w:t>новых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 w:rsidR="00BC3502" w:rsidRPr="00FD314A">
        <w:rPr>
          <w:rFonts w:ascii="Times New Roman" w:hAnsi="Times New Roman" w:cs="Times New Roman"/>
          <w:i/>
          <w:sz w:val="24"/>
          <w:szCs w:val="24"/>
        </w:rPr>
        <w:t>ов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35ED" w:rsidRPr="00FD314A" w:rsidRDefault="009435ED" w:rsidP="00FD314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73D" w:rsidRPr="00FD314A" w:rsidRDefault="005D5732" w:rsidP="00FD314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="009D32F7" w:rsidRPr="00FD3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5" w:rsidRPr="00FD314A">
        <w:rPr>
          <w:rFonts w:ascii="Times New Roman" w:hAnsi="Times New Roman" w:cs="Times New Roman"/>
          <w:b/>
          <w:bCs/>
          <w:sz w:val="24"/>
          <w:szCs w:val="24"/>
        </w:rPr>
        <w:t>Управление рисками</w:t>
      </w:r>
    </w:p>
    <w:p w:rsidR="00245079" w:rsidRPr="00FD314A" w:rsidRDefault="00435C02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C65D03" w:rsidRPr="00FD314A">
        <w:rPr>
          <w:rFonts w:ascii="Times New Roman" w:hAnsi="Times New Roman" w:cs="Times New Roman"/>
          <w:bCs/>
          <w:i/>
          <w:sz w:val="24"/>
          <w:szCs w:val="24"/>
        </w:rPr>
        <w:t xml:space="preserve"> проводится работа по совершенствованию работающего процесса сообщения о медицинских ошибках через предоставление Отчетов об инцидентах, которая достигается путем создания доверительных отношений между всеми сотрудниками, уменьшения боязни сотрудников сообщать о случившихся инцидентах.</w:t>
      </w:r>
    </w:p>
    <w:p w:rsidR="009351BB" w:rsidRDefault="009351BB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D0AC6" w:rsidRDefault="009D0AC6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D0AC6" w:rsidRPr="00745561" w:rsidRDefault="009D0AC6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45079" w:rsidRPr="009E51F1" w:rsidRDefault="00245079" w:rsidP="00245079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Анализ управления рисками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1548"/>
        <w:gridCol w:w="1771"/>
        <w:gridCol w:w="1730"/>
        <w:gridCol w:w="1373"/>
        <w:gridCol w:w="1376"/>
      </w:tblGrid>
      <w:tr w:rsidR="004A51D3" w:rsidRPr="00FD314A" w:rsidTr="00FD314A">
        <w:trPr>
          <w:trHeight w:val="30"/>
        </w:trPr>
        <w:tc>
          <w:tcPr>
            <w:tcW w:w="1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возможного</w:t>
            </w:r>
            <w:proofErr w:type="spellEnd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риска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Цель, на которую может повлиять данный риск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1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Запланированные мероприятия по управлению рисками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Причины</w:t>
            </w:r>
            <w:proofErr w:type="spellEnd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неисполнения</w:t>
            </w:r>
            <w:proofErr w:type="spellEnd"/>
          </w:p>
        </w:tc>
      </w:tr>
      <w:tr w:rsidR="004A51D3" w:rsidRPr="00FD314A" w:rsidTr="00FD314A">
        <w:trPr>
          <w:trHeight w:val="55"/>
        </w:trPr>
        <w:tc>
          <w:tcPr>
            <w:tcW w:w="1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079" w:rsidRPr="00FD314A" w:rsidRDefault="00245079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FD314A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4A51D3" w:rsidRPr="00FD314A" w:rsidTr="00FD314A">
        <w:trPr>
          <w:trHeight w:val="30"/>
        </w:trPr>
        <w:tc>
          <w:tcPr>
            <w:tcW w:w="1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FF1FC7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>В</w:t>
            </w:r>
            <w:r w:rsidR="00A5234B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 xml:space="preserve">озникновение </w:t>
            </w:r>
            <w:r w:rsidR="00A5234B"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внутрибольничной инфекции (</w:t>
            </w:r>
            <w:r w:rsidR="00A5234B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>БВИ)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1D3" w:rsidRPr="00FD314A" w:rsidRDefault="004A51D3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- </w:t>
            </w:r>
            <w:r w:rsidR="00FF1FC7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Н</w:t>
            </w: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а показатель качества</w:t>
            </w:r>
            <w:r w:rsidR="00A5234B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  <w:p w:rsidR="00A5234B" w:rsidRPr="00FD314A" w:rsidRDefault="00A5234B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:rsidR="00003DBB" w:rsidRPr="00FD314A" w:rsidRDefault="00A5234B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- </w:t>
            </w:r>
            <w:r w:rsidR="00FF1FC7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Н</w:t>
            </w: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а репутацию</w:t>
            </w:r>
          </w:p>
          <w:p w:rsidR="00003DBB" w:rsidRPr="00FD314A" w:rsidRDefault="00003DBB" w:rsidP="00FD314A">
            <w:pPr>
              <w:pStyle w:val="Default"/>
              <w:widowControl w:val="0"/>
              <w:rPr>
                <w:i/>
                <w:sz w:val="20"/>
                <w:szCs w:val="20"/>
              </w:rPr>
            </w:pPr>
          </w:p>
          <w:p w:rsidR="00003DBB" w:rsidRPr="00FD314A" w:rsidRDefault="00003DBB" w:rsidP="00FD314A">
            <w:pPr>
              <w:pStyle w:val="Default"/>
              <w:widowControl w:val="0"/>
              <w:rPr>
                <w:i/>
                <w:sz w:val="20"/>
                <w:szCs w:val="20"/>
              </w:rPr>
            </w:pPr>
            <w:r w:rsidRPr="00FD314A">
              <w:rPr>
                <w:i/>
                <w:sz w:val="20"/>
                <w:szCs w:val="20"/>
              </w:rPr>
              <w:t xml:space="preserve">Цель 1: Создание </w:t>
            </w:r>
            <w:proofErr w:type="spellStart"/>
            <w:proofErr w:type="gramStart"/>
            <w:r w:rsidRPr="00FD314A">
              <w:rPr>
                <w:i/>
                <w:sz w:val="20"/>
                <w:szCs w:val="20"/>
              </w:rPr>
              <w:t>пациент-ориентированной</w:t>
            </w:r>
            <w:proofErr w:type="spellEnd"/>
            <w:proofErr w:type="gramEnd"/>
            <w:r w:rsidRPr="00FD314A">
              <w:rPr>
                <w:i/>
                <w:sz w:val="20"/>
                <w:szCs w:val="20"/>
              </w:rPr>
              <w:t xml:space="preserve"> системы оказания медицинской помощи.</w:t>
            </w:r>
          </w:p>
          <w:p w:rsidR="00A5234B" w:rsidRPr="00FD314A" w:rsidRDefault="00003DBB" w:rsidP="00FD314A">
            <w:pPr>
              <w:pStyle w:val="Default"/>
              <w:widowControl w:val="0"/>
              <w:rPr>
                <w:i/>
                <w:sz w:val="20"/>
                <w:szCs w:val="20"/>
              </w:rPr>
            </w:pPr>
            <w:r w:rsidRPr="00FD314A">
              <w:rPr>
                <w:i/>
                <w:sz w:val="20"/>
                <w:szCs w:val="20"/>
              </w:rPr>
              <w:t>Цель 2: Эфф</w:t>
            </w:r>
            <w:r w:rsidR="00FD314A">
              <w:rPr>
                <w:i/>
                <w:sz w:val="20"/>
                <w:szCs w:val="20"/>
              </w:rPr>
              <w:t>ективный больничный менеджмент.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- </w:t>
            </w:r>
            <w:r w:rsidR="00FF1FC7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У</w:t>
            </w:r>
            <w:r w:rsidR="006273BC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худшение показателей стационара</w:t>
            </w:r>
            <w:r w:rsidR="006273BC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 xml:space="preserve"> (увеличение срока пребывания пациента в стационаре,</w:t>
            </w:r>
            <w:r w:rsidR="006273BC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>увеличение смертности от ВБИ в стационаре</w:t>
            </w:r>
            <w:r w:rsidR="006273BC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>)</w:t>
            </w: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  <w:p w:rsidR="00A5234B" w:rsidRPr="00FD314A" w:rsidRDefault="00FF1FC7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- Д</w:t>
            </w:r>
            <w:r w:rsidR="006273BC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ополнительные</w:t>
            </w:r>
            <w:r w:rsidR="00A5234B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 финансовы</w:t>
            </w:r>
            <w:r w:rsidR="006273BC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е затраты</w:t>
            </w:r>
            <w:r w:rsidR="00A5234B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</w:tc>
        <w:tc>
          <w:tcPr>
            <w:tcW w:w="1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1.</w:t>
            </w:r>
            <w:r w:rsidR="004A51D3" w:rsidRPr="00FD314A">
              <w:rPr>
                <w:sz w:val="20"/>
                <w:szCs w:val="20"/>
              </w:rPr>
              <w:t xml:space="preserve"> </w:t>
            </w:r>
            <w:r w:rsidR="004A51D3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>Комплексные мероприятия по профилактике ВБИ</w:t>
            </w:r>
          </w:p>
          <w:p w:rsidR="00A5234B" w:rsidRPr="00FD314A" w:rsidRDefault="00A5234B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  </w:t>
            </w:r>
          </w:p>
          <w:p w:rsidR="00A5234B" w:rsidRPr="00FD314A" w:rsidRDefault="00A5234B" w:rsidP="00FD314A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2. </w:t>
            </w:r>
            <w:r w:rsidR="004A51D3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  <w:t xml:space="preserve">В случае возникновения, </w:t>
            </w:r>
            <w:r w:rsidR="004A51D3"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>мероприятия</w:t>
            </w: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t>, направленные на источник инфекции, - выявление, изоляция и санация.</w:t>
            </w:r>
            <w:r w:rsidRPr="00FD314A">
              <w:rPr>
                <w:rFonts w:ascii="Times New Roman" w:eastAsia="Consolas" w:hAnsi="Times New Roman" w:cs="Times New Roman"/>
                <w:i/>
                <w:sz w:val="20"/>
                <w:szCs w:val="20"/>
              </w:rPr>
              <w:br/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1D3" w:rsidRPr="00FD314A" w:rsidRDefault="004A51D3" w:rsidP="00FD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1. </w:t>
            </w:r>
            <w:r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Создана комиссия инфекционного контроля,</w:t>
            </w:r>
            <w:r w:rsidRPr="00FD314A">
              <w:rPr>
                <w:sz w:val="20"/>
                <w:szCs w:val="20"/>
              </w:rPr>
              <w:t xml:space="preserve"> </w:t>
            </w:r>
            <w:r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действующая согласно Типовому положению о комиссии инфекционного контроля медицинских организаций</w:t>
            </w:r>
            <w:r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;</w:t>
            </w:r>
          </w:p>
          <w:p w:rsidR="004A51D3" w:rsidRPr="00FD314A" w:rsidRDefault="004A51D3" w:rsidP="00FD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</w:p>
          <w:p w:rsidR="004A51D3" w:rsidRPr="00FD314A" w:rsidRDefault="004A51D3" w:rsidP="00FD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2.  </w:t>
            </w:r>
            <w:r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Разработана Программа работы по организации и проведению инфекционного контроля</w:t>
            </w:r>
          </w:p>
          <w:p w:rsidR="004A51D3" w:rsidRPr="00FD314A" w:rsidRDefault="004A51D3" w:rsidP="00FD3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5234B" w:rsidRPr="00FD314A" w:rsidRDefault="004A51D3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В результате, з</w:t>
            </w:r>
            <w:r w:rsidR="00A5234B" w:rsidRPr="00FD31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 2017 г. снизился показатель ВБИ на 50%, с 0,6% в 2016 г. до 0,3% в 2017 году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4A51D3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eastAsia="Consolas" w:hAnsi="Times New Roman" w:cs="Times New Roman"/>
                <w:sz w:val="20"/>
                <w:szCs w:val="20"/>
              </w:rPr>
              <w:t>-</w:t>
            </w:r>
          </w:p>
        </w:tc>
      </w:tr>
      <w:tr w:rsidR="004A51D3" w:rsidRPr="00FD314A" w:rsidTr="00FD314A">
        <w:trPr>
          <w:trHeight w:val="30"/>
        </w:trPr>
        <w:tc>
          <w:tcPr>
            <w:tcW w:w="1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4B" w:rsidRPr="00FD314A" w:rsidRDefault="00A5234B" w:rsidP="00FD314A">
            <w:pPr>
              <w:widowControl w:val="0"/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</w:tr>
    </w:tbl>
    <w:p w:rsidR="005375D9" w:rsidRDefault="005375D9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D03" w:rsidRPr="00745561" w:rsidRDefault="00C65D03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За 201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год получено 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>287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отчет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об инцидентах (связанные с организационными процессами (70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>), с хозяйственными вопросами (103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), с оборудованием и ИМН (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5), с хирургич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>ескими событиями (11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), с охраной и безопасностью (1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), с конфликтными ситуациями (7), с медикаментами (32), произошедшие</w:t>
      </w:r>
      <w:r w:rsidR="005375D9"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во время ухода за пациентом (23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); все случаи разобраны, даны рекомендации по улучшению ситуаций.</w:t>
      </w:r>
      <w:proofErr w:type="gramEnd"/>
    </w:p>
    <w:p w:rsidR="00C65D03" w:rsidRPr="00745561" w:rsidRDefault="00C65D03" w:rsidP="00FD314A">
      <w:pPr>
        <w:pStyle w:val="a4"/>
        <w:widowControl w:val="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За отчетный период разработаны проект </w:t>
      </w:r>
      <w:proofErr w:type="gram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Методики определения уровня зрелости системы внутреннего контроля</w:t>
      </w:r>
      <w:proofErr w:type="gramEnd"/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и проект Регистра рисков и Карты рисков на 2017 год.</w:t>
      </w:r>
    </w:p>
    <w:p w:rsidR="00C65D03" w:rsidRPr="00745561" w:rsidRDefault="00C65D03" w:rsidP="00FD314A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Проведена работа по экспертизе медицинских карт на соответствие требованиям национальной и международной аккредитаций: ежемесячный мониторинг по качеству заполнения медицинской документации; мониторинг своевременности предоставления информации по выписанным пациентам в ЕНСЗ; проведение экспертизы медицинской помощи по летальным случаям, которые разобраны на КИЛИ, за исключением прошедших проверку 7 случаев. Осуществлен контроль соблюдения стандартов </w:t>
      </w:r>
      <w:r w:rsidR="00C51C4F" w:rsidRPr="00745561">
        <w:rPr>
          <w:rFonts w:ascii="Times New Roman" w:hAnsi="Times New Roman" w:cs="Times New Roman"/>
          <w:bCs/>
          <w:i/>
          <w:sz w:val="24"/>
          <w:szCs w:val="24"/>
        </w:rPr>
        <w:t>аккредитации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: идентификация пациентов, вторая подпись в листах назначений, тайм-аут и </w:t>
      </w:r>
      <w:proofErr w:type="spell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т</w:t>
      </w:r>
      <w:proofErr w:type="gram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.д</w:t>
      </w:r>
      <w:proofErr w:type="spellEnd"/>
      <w:proofErr w:type="gramEnd"/>
    </w:p>
    <w:p w:rsidR="00CB573D" w:rsidRDefault="00CB573D" w:rsidP="005375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D0AC6" w:rsidRDefault="009D0AC6" w:rsidP="005375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D0AC6" w:rsidRPr="005375D9" w:rsidRDefault="009D0AC6" w:rsidP="005375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A5B32" w:rsidRPr="00FD314A" w:rsidRDefault="001A5B32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6. КАДРЫ. КОМПЛЕКСНАЯ СИСТЕМА МОТИВАЦИИ </w:t>
      </w:r>
      <w:r w:rsidR="00BC3502" w:rsidRPr="00FD314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D314A">
        <w:rPr>
          <w:rFonts w:ascii="Times New Roman" w:hAnsi="Times New Roman" w:cs="Times New Roman"/>
          <w:b/>
          <w:bCs/>
          <w:sz w:val="24"/>
          <w:szCs w:val="24"/>
        </w:rPr>
        <w:t>РАЗВИТИЯ ПЕРСОНАЛА</w:t>
      </w:r>
    </w:p>
    <w:p w:rsidR="002D5B2A" w:rsidRPr="00FD314A" w:rsidRDefault="002D5B2A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73D" w:rsidRPr="00FD314A" w:rsidRDefault="002D5B2A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sz w:val="24"/>
          <w:szCs w:val="24"/>
        </w:rPr>
        <w:t xml:space="preserve">6.1. Эффективность </w:t>
      </w:r>
      <w:r w:rsidRPr="00FD314A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r w:rsidRPr="00FD314A">
        <w:rPr>
          <w:rFonts w:ascii="Times New Roman" w:hAnsi="Times New Roman" w:cs="Times New Roman"/>
          <w:b/>
          <w:sz w:val="24"/>
          <w:szCs w:val="24"/>
        </w:rPr>
        <w:t xml:space="preserve">-менеджмента </w:t>
      </w:r>
    </w:p>
    <w:p w:rsidR="002D5B2A" w:rsidRPr="00FD314A" w:rsidRDefault="00E71B67" w:rsidP="00FD314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Cs/>
          <w:i/>
          <w:kern w:val="24"/>
          <w:sz w:val="24"/>
          <w:szCs w:val="24"/>
          <w:lang w:val="kk-KZ"/>
        </w:rPr>
        <w:t>Для достижения данной цели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определены </w:t>
      </w:r>
      <w:r w:rsidR="009E1C15" w:rsidRPr="00FD314A">
        <w:rPr>
          <w:rFonts w:ascii="Times New Roman" w:hAnsi="Times New Roman" w:cs="Times New Roman"/>
          <w:i/>
          <w:sz w:val="24"/>
          <w:szCs w:val="24"/>
          <w:lang w:val="kk-KZ"/>
        </w:rPr>
        <w:t>несколько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основных задач: </w:t>
      </w:r>
    </w:p>
    <w:p w:rsidR="002D5B2A" w:rsidRPr="00FD314A" w:rsidRDefault="00E71B67" w:rsidP="00FD314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</w:rPr>
        <w:t>Обучение и переподготовка ключевых специалистов, в том числе с привлечением лучших</w:t>
      </w:r>
      <w:r w:rsidRPr="00FD314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зарубежных специалистов по критериям зарубежного стратегического партнера:</w:t>
      </w:r>
    </w:p>
    <w:p w:rsidR="00E71B67" w:rsidRPr="00FD314A" w:rsidRDefault="00E71B67" w:rsidP="00FD31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Для внедрения новых технологий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ведется работа по организации и проведению мастер-классов ведущими зарубежными специалистами. За отчетный период </w:t>
      </w:r>
      <w:r w:rsidRPr="00FD314A">
        <w:rPr>
          <w:rFonts w:ascii="Times New Roman" w:hAnsi="Times New Roman" w:cs="Times New Roman"/>
          <w:i/>
          <w:sz w:val="24"/>
          <w:szCs w:val="24"/>
        </w:rPr>
        <w:t>в рамках 059 программы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</w:rPr>
        <w:t>проведен 1 мастер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FD314A">
        <w:rPr>
          <w:rFonts w:ascii="Times New Roman" w:hAnsi="Times New Roman" w:cs="Times New Roman"/>
          <w:i/>
          <w:sz w:val="24"/>
          <w:szCs w:val="24"/>
        </w:rPr>
        <w:t>класс</w:t>
      </w:r>
      <w:r w:rsidR="002D5B2A" w:rsidRPr="00FD314A">
        <w:rPr>
          <w:rFonts w:ascii="Times New Roman" w:hAnsi="Times New Roman" w:cs="Times New Roman"/>
          <w:i/>
          <w:sz w:val="24"/>
          <w:szCs w:val="24"/>
        </w:rPr>
        <w:t>.</w:t>
      </w:r>
    </w:p>
    <w:p w:rsidR="00E71B67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целях повышения профессионального уровня кадров за отчетный период в странах ближнего и дальнего зарубежья прошли обучение </w:t>
      </w:r>
      <w:r w:rsidR="00C20253" w:rsidRPr="00FD314A">
        <w:rPr>
          <w:rFonts w:ascii="Times New Roman" w:hAnsi="Times New Roman" w:cs="Times New Roman"/>
          <w:i/>
          <w:sz w:val="24"/>
          <w:szCs w:val="24"/>
          <w:lang w:val="kk-KZ"/>
        </w:rPr>
        <w:t>38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сотрудников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что составляет 6,3% от общего числа всех сотрудников, из них врачи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20253" w:rsidRPr="00FD314A"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СМР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4, АУП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4, прочие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 человек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E71B67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том числе, в рамках 059 программы направлено зарубеж на обучение </w:t>
      </w:r>
      <w:r w:rsidR="00C20253" w:rsidRPr="00FD314A">
        <w:rPr>
          <w:rFonts w:ascii="Times New Roman" w:hAnsi="Times New Roman" w:cs="Times New Roman"/>
          <w:i/>
          <w:sz w:val="24"/>
          <w:szCs w:val="24"/>
          <w:lang w:val="kk-KZ"/>
        </w:rPr>
        <w:t>6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специалистов</w:t>
      </w:r>
      <w:r w:rsidR="002D5B2A" w:rsidRPr="00FD314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E71B67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Для 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развития партнерских отношений с международными клиниками, формирования преподавательского состава и подготовки его к научно-образовательной деятельности по международным стандартам 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 июня 2013 года проводится обучение сотрудников английскому языку. </w:t>
      </w:r>
      <w:r w:rsidRPr="00FD314A">
        <w:rPr>
          <w:rFonts w:ascii="Times New Roman" w:hAnsi="Times New Roman" w:cs="Times New Roman"/>
          <w:i/>
          <w:sz w:val="24"/>
          <w:szCs w:val="24"/>
          <w:lang w:val="kk-KZ" w:eastAsia="ko-KR"/>
        </w:rPr>
        <w:t>В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отчетном году обучение прошли 25 сотрудников (при плане «не менее 20 человек»): врачей – 17, СМР – 2, АУП – 4, СХО – 2. Из них по уровням: </w:t>
      </w:r>
      <w:r w:rsidRPr="00FD314A">
        <w:rPr>
          <w:rFonts w:ascii="Times New Roman" w:hAnsi="Times New Roman" w:cs="Times New Roman"/>
          <w:i/>
          <w:sz w:val="24"/>
          <w:szCs w:val="24"/>
          <w:lang w:val="en-US"/>
        </w:rPr>
        <w:t>Beginners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="00C20253" w:rsidRPr="00FD314A">
        <w:rPr>
          <w:rFonts w:ascii="Times New Roman" w:hAnsi="Times New Roman" w:cs="Times New Roman"/>
          <w:i/>
          <w:sz w:val="24"/>
          <w:szCs w:val="24"/>
        </w:rPr>
        <w:t>3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FD314A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Pr="00FD314A">
        <w:rPr>
          <w:rFonts w:ascii="Times New Roman" w:hAnsi="Times New Roman" w:cs="Times New Roman"/>
          <w:i/>
          <w:sz w:val="24"/>
          <w:szCs w:val="24"/>
        </w:rPr>
        <w:t>-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Intermediate – </w:t>
      </w:r>
      <w:r w:rsidR="00C20253" w:rsidRPr="00FD314A">
        <w:rPr>
          <w:rFonts w:ascii="Times New Roman" w:hAnsi="Times New Roman" w:cs="Times New Roman"/>
          <w:i/>
          <w:sz w:val="24"/>
          <w:szCs w:val="24"/>
        </w:rPr>
        <w:t>8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Intermediate 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="00C20253" w:rsidRPr="00FD314A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Advanced – </w:t>
      </w:r>
      <w:r w:rsidR="00C20253" w:rsidRPr="00FD314A">
        <w:rPr>
          <w:rFonts w:ascii="Times New Roman" w:hAnsi="Times New Roman" w:cs="Times New Roman"/>
          <w:i/>
          <w:sz w:val="24"/>
          <w:szCs w:val="24"/>
        </w:rPr>
        <w:t>5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3235" w:rsidRPr="00FD314A" w:rsidRDefault="00A63EDB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За отчетный период отмечается положительная динамика по некоторым индикаторам: в сравнении с плановыми значениями увеличивается доля персонала, прошедшего обучение/переподготовку в т.ч. за рубежом на 27,4%</w:t>
      </w:r>
      <w:r w:rsidR="00A673F8" w:rsidRPr="00FD314A">
        <w:rPr>
          <w:rFonts w:ascii="Times New Roman" w:hAnsi="Times New Roman" w:cs="Times New Roman"/>
          <w:i/>
          <w:sz w:val="24"/>
          <w:szCs w:val="24"/>
        </w:rPr>
        <w:t xml:space="preserve"> (Доля персонала, прошедшего обучение/переподготовку в т.ч. за рубежом)</w:t>
      </w:r>
      <w:r w:rsidR="00E11E2D" w:rsidRPr="00FD314A">
        <w:rPr>
          <w:rFonts w:ascii="Times New Roman" w:hAnsi="Times New Roman" w:cs="Times New Roman"/>
          <w:i/>
          <w:sz w:val="24"/>
          <w:szCs w:val="24"/>
        </w:rPr>
        <w:t>; о</w:t>
      </w:r>
      <w:r w:rsidRPr="00FD314A">
        <w:rPr>
          <w:rFonts w:ascii="Times New Roman" w:hAnsi="Times New Roman" w:cs="Times New Roman"/>
          <w:i/>
          <w:sz w:val="24"/>
          <w:szCs w:val="24"/>
        </w:rPr>
        <w:t>тмечается рост уровня у</w:t>
      </w:r>
      <w:r w:rsidR="00C20253" w:rsidRPr="00FD314A">
        <w:rPr>
          <w:rFonts w:ascii="Times New Roman" w:hAnsi="Times New Roman" w:cs="Times New Roman"/>
          <w:i/>
          <w:sz w:val="24"/>
          <w:szCs w:val="24"/>
        </w:rPr>
        <w:t>довлетворенности персонала на 17</w:t>
      </w:r>
      <w:r w:rsidRPr="00FD314A">
        <w:rPr>
          <w:rFonts w:ascii="Times New Roman" w:hAnsi="Times New Roman" w:cs="Times New Roman"/>
          <w:i/>
          <w:sz w:val="24"/>
          <w:szCs w:val="24"/>
        </w:rPr>
        <w:t>% от плана и на 9% от значения прошлого года (Уровень удовлетворенности персонала</w:t>
      </w:r>
      <w:r w:rsidR="00C20253" w:rsidRPr="00FD314A">
        <w:rPr>
          <w:rFonts w:ascii="Times New Roman" w:hAnsi="Times New Roman" w:cs="Times New Roman"/>
          <w:i/>
          <w:sz w:val="24"/>
          <w:szCs w:val="24"/>
        </w:rPr>
        <w:t xml:space="preserve"> 2016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г. – </w:t>
      </w:r>
      <w:r w:rsidR="00C20253" w:rsidRPr="00FD314A">
        <w:rPr>
          <w:rFonts w:ascii="Times New Roman" w:hAnsi="Times New Roman" w:cs="Times New Roman"/>
          <w:i/>
          <w:sz w:val="24"/>
          <w:szCs w:val="24"/>
        </w:rPr>
        <w:t>78</w:t>
      </w:r>
      <w:r w:rsidRPr="00FD314A">
        <w:rPr>
          <w:rFonts w:ascii="Times New Roman" w:hAnsi="Times New Roman" w:cs="Times New Roman"/>
          <w:i/>
          <w:sz w:val="24"/>
          <w:szCs w:val="24"/>
        </w:rPr>
        <w:t>%</w:t>
      </w:r>
      <w:r w:rsidR="00C20253" w:rsidRPr="00FD314A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  <w:proofErr w:type="gramEnd"/>
      <w:r w:rsidR="00C20253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2017 г. – 87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%). </w:t>
      </w:r>
      <w:r w:rsidR="00E11E2D" w:rsidRPr="00FD314A">
        <w:rPr>
          <w:rFonts w:ascii="Times New Roman" w:hAnsi="Times New Roman" w:cs="Times New Roman"/>
          <w:i/>
          <w:sz w:val="24"/>
          <w:szCs w:val="24"/>
        </w:rPr>
        <w:t>А также, с</w:t>
      </w:r>
      <w:r w:rsidR="00F53235" w:rsidRPr="00FD314A">
        <w:rPr>
          <w:rFonts w:ascii="Times New Roman" w:hAnsi="Times New Roman" w:cs="Times New Roman"/>
          <w:i/>
          <w:sz w:val="24"/>
          <w:szCs w:val="24"/>
        </w:rPr>
        <w:t xml:space="preserve"> целью определения удовлетворенности персонала, как минимум ежегодно Служба управления персоналом проводит анкетирование персонала на предмет удовлетворенности условиями труда и работодателем. </w:t>
      </w:r>
      <w:r w:rsidR="00F53235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Текучесть кадров за отчетный год составляет 8,5% при плане «не более» 9%, из них уровень текучести врачей – 4,7% (план «не более» 10%), СМР – 13,2% (план – «не более» 20%), ММП – 11,5% (план – «не более» 25%).    </w:t>
      </w:r>
    </w:p>
    <w:p w:rsidR="009E1C15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D314A">
        <w:rPr>
          <w:rFonts w:ascii="Times New Roman" w:hAnsi="Times New Roman" w:cs="Times New Roman"/>
          <w:bCs/>
          <w:i/>
          <w:sz w:val="24"/>
          <w:szCs w:val="24"/>
          <w:u w:val="single"/>
          <w:lang w:val="kk-KZ"/>
        </w:rPr>
        <w:t>Совершенствование системы профессионального развития среднего медицинско</w:t>
      </w:r>
      <w:r w:rsidRPr="00FD314A">
        <w:rPr>
          <w:rFonts w:ascii="Times New Roman" w:hAnsi="Times New Roman" w:cs="Times New Roman"/>
          <w:bCs/>
          <w:i/>
          <w:sz w:val="24"/>
          <w:szCs w:val="24"/>
          <w:u w:val="single"/>
        </w:rPr>
        <w:t>го персонала, включая расширение его прав и полномочий:</w:t>
      </w:r>
    </w:p>
    <w:p w:rsidR="00E71B67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рамках данной цели запланированные мероприятия исполнены в 2013 году. </w:t>
      </w:r>
    </w:p>
    <w:p w:rsidR="00E71B67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</w:t>
      </w:r>
      <w:proofErr w:type="gramStart"/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proofErr w:type="gram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на постоянной основе проводятся конференции и семинары.</w:t>
      </w:r>
    </w:p>
    <w:p w:rsidR="002D5B2A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За отчетный период проведено 5 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общебольничных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конференций для специалистов сестринского дела с изложением теоретического материала и практических навыков</w:t>
      </w:r>
      <w:r w:rsidR="002D5B2A" w:rsidRPr="00FD314A">
        <w:rPr>
          <w:rFonts w:ascii="Times New Roman" w:hAnsi="Times New Roman" w:cs="Times New Roman"/>
          <w:i/>
          <w:sz w:val="24"/>
          <w:szCs w:val="24"/>
        </w:rPr>
        <w:t>.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B67" w:rsidRPr="00FD314A" w:rsidRDefault="00E71B67" w:rsidP="00FD314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Во всех конференциях принимали участие специалисты сестринского дела клинических отделений и вспомогательных служб,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ч</w:t>
      </w:r>
      <w:r w:rsidRPr="00FD314A">
        <w:rPr>
          <w:rFonts w:ascii="Times New Roman" w:hAnsi="Times New Roman" w:cs="Times New Roman"/>
          <w:i/>
          <w:sz w:val="24"/>
          <w:szCs w:val="24"/>
        </w:rPr>
        <w:t>лены Правления, сотрудники отдела образования.</w:t>
      </w:r>
    </w:p>
    <w:p w:rsidR="008F3069" w:rsidRPr="00FD314A" w:rsidRDefault="008F3069" w:rsidP="00FD314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C15" w:rsidRPr="00FD314A" w:rsidRDefault="002D5B2A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sz w:val="24"/>
          <w:szCs w:val="24"/>
        </w:rPr>
        <w:t>6.2 Внедрение дифференцированной оплаты труда, в том числе бонусн</w:t>
      </w:r>
      <w:r w:rsidR="00940E8F" w:rsidRPr="00FD314A">
        <w:rPr>
          <w:rFonts w:ascii="Times New Roman" w:hAnsi="Times New Roman" w:cs="Times New Roman"/>
          <w:b/>
          <w:sz w:val="24"/>
          <w:szCs w:val="24"/>
        </w:rPr>
        <w:t>ой</w:t>
      </w:r>
      <w:r w:rsidRPr="00FD314A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940E8F" w:rsidRPr="00FD314A">
        <w:rPr>
          <w:rFonts w:ascii="Times New Roman" w:hAnsi="Times New Roman" w:cs="Times New Roman"/>
          <w:b/>
          <w:sz w:val="24"/>
          <w:szCs w:val="24"/>
        </w:rPr>
        <w:t>ы</w:t>
      </w:r>
      <w:r w:rsidRPr="00FD314A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</w:p>
    <w:p w:rsidR="009E1C15" w:rsidRPr="00FD314A" w:rsidRDefault="00E71B67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sz w:val="24"/>
          <w:szCs w:val="24"/>
        </w:rPr>
        <w:t>Совершенствование системы мотивации и удержания лучших сотрудников:</w:t>
      </w:r>
    </w:p>
    <w:p w:rsidR="00E71B67" w:rsidRPr="00FD314A" w:rsidRDefault="00E71B67" w:rsidP="00FD314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Разработка и внедрение дифференцированной бонусной системы оплаты труда. </w:t>
      </w:r>
    </w:p>
    <w:p w:rsidR="009E1C15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Решением Совета директоров утверждено Положение об оплате труда с дифференцированной системой оплаты труда. Определен механизм распределения фонда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оплаты труда по уровням сложности операций и другим критериям для всех работников </w:t>
      </w:r>
      <w:r w:rsidR="00435C02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Решением Правления утверждены Правила расчета диффер</w:t>
      </w:r>
      <w:r w:rsidR="009E1C15" w:rsidRPr="00FD314A">
        <w:rPr>
          <w:rFonts w:ascii="Times New Roman" w:hAnsi="Times New Roman" w:cs="Times New Roman"/>
          <w:i/>
          <w:sz w:val="24"/>
          <w:szCs w:val="24"/>
          <w:lang w:val="kk-KZ"/>
        </w:rPr>
        <w:t>енцированной доплаты работникам.</w:t>
      </w:r>
    </w:p>
    <w:p w:rsidR="009E1C15" w:rsidRPr="00FD314A" w:rsidRDefault="009E1C15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E71B67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Совершенствование дополнительных форм материального и морального поощрения работников (стимулирование).</w:t>
      </w:r>
    </w:p>
    <w:p w:rsidR="00E71B67" w:rsidRPr="00FD314A" w:rsidRDefault="00E71B67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Решением Правления в Правилах расчета диффере</w:t>
      </w:r>
      <w:r w:rsidR="009E1C15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нцированной доплаты работникам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1715FE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внесены изменения и дополнения, в частности, врачебному персоналу увеличены размеры оплаты участия в одной операции и за ведение больного, также внесены изменения и дополнения в повышающие и понижающие критерии оценки деятельности работников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9E1C15" w:rsidRPr="00FD314A" w:rsidRDefault="009E1C15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C15" w:rsidRPr="00FD314A" w:rsidRDefault="009E1C15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4A">
        <w:rPr>
          <w:rFonts w:ascii="Times New Roman" w:hAnsi="Times New Roman" w:cs="Times New Roman"/>
          <w:b/>
          <w:sz w:val="24"/>
          <w:szCs w:val="24"/>
        </w:rPr>
        <w:t>6.3 Нематериальная мотивация, в том числе повышение потенциала</w:t>
      </w:r>
    </w:p>
    <w:p w:rsidR="009E1C15" w:rsidRPr="00FD314A" w:rsidRDefault="009E1C15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Развитие корпоративной культуры и поддержание корпоративных ценностей: </w:t>
      </w:r>
    </w:p>
    <w:p w:rsidR="009E1C15" w:rsidRPr="00FD314A" w:rsidRDefault="001715FE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9E1C15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постоянной основе проводятся мероприятия по развитию корпоративной культуры и поддержанию корпоративных ценностей. Сотрудники при приеме на работу обязаны изучить Кодекс деловой этики, где указаны </w:t>
      </w:r>
      <w:r w:rsidR="009E1C15" w:rsidRPr="00FD314A">
        <w:rPr>
          <w:rFonts w:ascii="Times New Roman" w:hAnsi="Times New Roman" w:cs="Times New Roman"/>
          <w:i/>
          <w:kern w:val="24"/>
          <w:sz w:val="24"/>
          <w:szCs w:val="24"/>
        </w:rPr>
        <w:t>ориентиры профессиональной деятельности</w:t>
      </w:r>
      <w:r w:rsidR="009E1C15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корпоративной культуры.</w:t>
      </w:r>
      <w:r w:rsidR="009E1C15"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C15" w:rsidRPr="00FD314A" w:rsidRDefault="009E1C15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За отчетный период проведены 3 </w:t>
      </w: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корпоративных</w:t>
      </w:r>
      <w:proofErr w:type="gram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мероприятия в честь празднования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«Международного женского дня», </w:t>
      </w:r>
      <w:r w:rsidRPr="00FD314A">
        <w:rPr>
          <w:rFonts w:ascii="Times New Roman" w:hAnsi="Times New Roman" w:cs="Times New Roman"/>
          <w:i/>
          <w:sz w:val="24"/>
          <w:szCs w:val="24"/>
        </w:rPr>
        <w:t>«Дня медицинского работника», «Дня независимости».</w:t>
      </w:r>
    </w:p>
    <w:p w:rsidR="009E1C15" w:rsidRPr="00FD314A" w:rsidRDefault="009E1C15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 По запросу Министерства здравоохранения РК, проведена работа по подготовке наградных материалов для награждения почетными грамотами, благодарственными письмами и ценными подарками работников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в честь празднования Международного женского дня, 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Наурыз-мейрамы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, Дня медицинского работника. </w:t>
      </w:r>
    </w:p>
    <w:p w:rsidR="00C20253" w:rsidRPr="00FD314A" w:rsidRDefault="00C20253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Составление индивидуальных планов развития работников на соответствующий год.</w:t>
      </w:r>
    </w:p>
    <w:p w:rsidR="00C20253" w:rsidRPr="00FD314A" w:rsidRDefault="00C20253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Индивидуальные планы развития на предстоящий год составляются сотрудниками в конце текущего года, находятся на самоконтроле. За отчетный год оценка профессиональной деятельности сотрудников проведена с 05 по 23 декабря 2016 года (80% сотрудников). </w:t>
      </w:r>
    </w:p>
    <w:p w:rsidR="00C20253" w:rsidRPr="00FD314A" w:rsidRDefault="00C20253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 за отчетный период количество сотрудников, уволенных по собственному желанию, составило 45, из них АУП – 4, врачи – 2, СМР – 19, ММП – 1</w:t>
      </w:r>
      <w:r w:rsidR="0027055C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 прочие (в т.ч. СХО– 7</w:t>
      </w:r>
      <w:r w:rsidR="005B24F2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Количество сотрудников, уволенных по уважительным причинам –</w:t>
      </w:r>
      <w:r w:rsidR="0027055C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из них по причинам увольнения: </w:t>
      </w:r>
      <w:r w:rsidR="0027055C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сотрудников – выход на пенсию, 2 – перее</w:t>
      </w:r>
      <w:proofErr w:type="gramStart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 в др</w:t>
      </w:r>
      <w:proofErr w:type="gramEnd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угой город, </w:t>
      </w:r>
      <w:r w:rsidR="0027055C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профессиональный рост, </w:t>
      </w:r>
      <w:r w:rsidR="0027055C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– призыв в армию, 4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перевод на другую работу, 2 – поступление в магистратуру, в колледж.  </w:t>
      </w:r>
    </w:p>
    <w:p w:rsidR="009E1C15" w:rsidRPr="00FD314A" w:rsidRDefault="009E1C15" w:rsidP="00FD314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FE5" w:rsidRPr="00FD314A" w:rsidRDefault="00452FE5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sz w:val="24"/>
          <w:szCs w:val="24"/>
        </w:rPr>
        <w:t>6.4 Управление рисками</w:t>
      </w:r>
    </w:p>
    <w:p w:rsidR="00452FE5" w:rsidRPr="00FD314A" w:rsidRDefault="00452FE5" w:rsidP="00FD314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Обеспечение безопасными и эргономичными условиями труда медицинского и немедицинского персонала. </w:t>
      </w:r>
    </w:p>
    <w:p w:rsidR="00452FE5" w:rsidRPr="00FD314A" w:rsidRDefault="00452FE5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отчетный период отделом </w:t>
      </w:r>
      <w:r w:rsidRPr="00FD314A">
        <w:rPr>
          <w:rFonts w:ascii="Times New Roman" w:hAnsi="Times New Roman" w:cs="Times New Roman"/>
          <w:i/>
          <w:sz w:val="24"/>
          <w:szCs w:val="24"/>
        </w:rPr>
        <w:t>ГО, ЧС, ПБ, ОТ, ТБ и экологии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проведена работа </w:t>
      </w:r>
      <w:proofErr w:type="gramStart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52FE5" w:rsidRPr="00FD314A" w:rsidRDefault="00452FE5" w:rsidP="00281DF4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обучению руководящего состава в области безопасности и охраны труда (обучено </w:t>
      </w:r>
      <w:r w:rsidR="00C20253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сотрудников); </w:t>
      </w:r>
    </w:p>
    <w:p w:rsidR="00452FE5" w:rsidRPr="00FD314A" w:rsidRDefault="00452FE5" w:rsidP="00281DF4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проверке знаний сотрудников в области безопасности и охраны труда (</w:t>
      </w:r>
      <w:proofErr w:type="spellStart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экзаменировано</w:t>
      </w:r>
      <w:proofErr w:type="spellEnd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0253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498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сотрудников); </w:t>
      </w:r>
    </w:p>
    <w:p w:rsidR="00452FE5" w:rsidRPr="00FD314A" w:rsidRDefault="00452FE5" w:rsidP="00281DF4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проведению вводного инструктажа </w:t>
      </w:r>
      <w:proofErr w:type="gramStart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вновь принятыми на работу (проведено </w:t>
      </w:r>
      <w:r w:rsidR="00C20253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128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сотрудникам); </w:t>
      </w:r>
    </w:p>
    <w:p w:rsidR="00452FE5" w:rsidRPr="00FD314A" w:rsidRDefault="00452FE5" w:rsidP="00281DF4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организации производственного экологического контроля (ежедневный обход зданий и территории, опрошено </w:t>
      </w:r>
      <w:r w:rsidR="00C20253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305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сотрудников клинических и </w:t>
      </w:r>
      <w:proofErr w:type="spellStart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параклинических</w:t>
      </w:r>
      <w:proofErr w:type="spellEnd"/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отделений по вопросам экологической безопасности);</w:t>
      </w:r>
    </w:p>
    <w:p w:rsidR="00452FE5" w:rsidRPr="00FD314A" w:rsidRDefault="00452FE5" w:rsidP="00281DF4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проведению аттестации электротехнического персонала по знанию норм и правил техники безопасности при эксплуатации электроустановок (аттестовано 2</w:t>
      </w:r>
      <w:r w:rsidR="00C20253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сотрудников); </w:t>
      </w:r>
    </w:p>
    <w:p w:rsidR="00452FE5" w:rsidRPr="00FD314A" w:rsidRDefault="00452FE5" w:rsidP="00281DF4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проведению тренингов персонала с участием городских ГО, ЧС (проведено 2 объектовые тренировки).</w:t>
      </w:r>
    </w:p>
    <w:p w:rsidR="00452FE5" w:rsidRPr="00FD314A" w:rsidRDefault="00452FE5" w:rsidP="00281DF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Внешней сертифицированной компанией проведена аттестация рабочих мест.</w:t>
      </w:r>
    </w:p>
    <w:p w:rsidR="00452FE5" w:rsidRPr="00FD314A" w:rsidRDefault="00452FE5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Случаев производственного травматизма и профессиональных заболеваний в 201</w:t>
      </w:r>
      <w:r w:rsidR="00C20253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 не было. </w:t>
      </w:r>
    </w:p>
    <w:p w:rsidR="00CB573D" w:rsidRPr="00FD314A" w:rsidRDefault="00CB573D" w:rsidP="00281DF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6DD4" w:rsidRPr="00FD314A" w:rsidRDefault="007A6DD4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A5B32" w:rsidRPr="00FD3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FD3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ЭФФЕКТИВНОЕ ИСПОЛЬЗОВАНИЕ РЕСУРСОВ ОРГАНИЗАЦИИ</w:t>
      </w:r>
    </w:p>
    <w:p w:rsidR="00282DF4" w:rsidRPr="00FD314A" w:rsidRDefault="00282DF4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573D" w:rsidRPr="00FD314A" w:rsidRDefault="001A5B32" w:rsidP="00FD314A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.1. </w:t>
      </w:r>
      <w:r w:rsidR="00C173D8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Аккредитация клиники, лабораторной службы, п</w:t>
      </w:r>
      <w:r w:rsidR="00282DF4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рофильных служб (национальная </w:t>
      </w:r>
      <w:r w:rsidR="00C173D8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и/или международная)</w:t>
      </w:r>
    </w:p>
    <w:p w:rsidR="00086A48" w:rsidRPr="00FD314A" w:rsidRDefault="0027055C" w:rsidP="00FD314A">
      <w:pPr>
        <w:tabs>
          <w:tab w:val="left" w:pos="176"/>
          <w:tab w:val="left" w:pos="146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В 2014</w:t>
      </w:r>
      <w:r w:rsidR="00086A48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году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Организация</w:t>
      </w:r>
      <w:r w:rsidR="00086A48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успешно прошл</w:t>
      </w:r>
      <w:r w:rsidR="001715FE" w:rsidRPr="00FD314A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="00086A48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4223C" w:rsidRPr="00FD314A">
        <w:rPr>
          <w:rFonts w:ascii="Times New Roman" w:hAnsi="Times New Roman" w:cs="Times New Roman"/>
          <w:i/>
          <w:sz w:val="24"/>
          <w:szCs w:val="24"/>
          <w:lang w:val="kk-KZ"/>
        </w:rPr>
        <w:t>аккредитацию</w:t>
      </w:r>
      <w:r w:rsidR="0044223C" w:rsidRPr="00FD31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в 2017</w:t>
      </w:r>
      <w:r w:rsidR="00086A48" w:rsidRPr="00FD31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году - </w:t>
      </w:r>
      <w:proofErr w:type="spellStart"/>
      <w:r w:rsidR="00086A48" w:rsidRPr="00FD31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реаккредитацию</w:t>
      </w:r>
      <w:proofErr w:type="spellEnd"/>
      <w:r w:rsidR="00086A48" w:rsidRPr="00FD31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086A48" w:rsidRPr="00FD314A" w:rsidRDefault="00086A48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В рамках подготов</w:t>
      </w:r>
      <w:r w:rsidR="0044223C" w:rsidRPr="00FD314A">
        <w:rPr>
          <w:rFonts w:ascii="Times New Roman" w:hAnsi="Times New Roman" w:cs="Times New Roman"/>
          <w:i/>
          <w:sz w:val="24"/>
          <w:szCs w:val="24"/>
        </w:rPr>
        <w:t xml:space="preserve">ки к прохождению </w:t>
      </w:r>
      <w:proofErr w:type="spellStart"/>
      <w:r w:rsidR="0044223C" w:rsidRPr="00FD314A">
        <w:rPr>
          <w:rFonts w:ascii="Times New Roman" w:hAnsi="Times New Roman" w:cs="Times New Roman"/>
          <w:i/>
          <w:sz w:val="24"/>
          <w:szCs w:val="24"/>
        </w:rPr>
        <w:t>реаккредитации</w:t>
      </w:r>
      <w:proofErr w:type="spellEnd"/>
      <w:r w:rsidR="0044223C"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</w:rPr>
        <w:t>осуществлены следующие мероприятия:</w:t>
      </w:r>
    </w:p>
    <w:p w:rsidR="00086A48" w:rsidRPr="00FD314A" w:rsidRDefault="00CB573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>проведена оценка 8 индикаторов по 6 Международным целям по безопасности пациентов;</w:t>
      </w:r>
    </w:p>
    <w:p w:rsidR="00086A48" w:rsidRPr="00FD314A" w:rsidRDefault="00CB573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внедрены 29 индикаторы качества и 24 приоритетные работы для выполнения проектов по повышению эффективности работы в каждом клиническом и </w:t>
      </w:r>
      <w:proofErr w:type="spellStart"/>
      <w:r w:rsidR="00086A48" w:rsidRPr="00FD314A">
        <w:rPr>
          <w:rFonts w:ascii="Times New Roman" w:hAnsi="Times New Roman" w:cs="Times New Roman"/>
          <w:i/>
          <w:sz w:val="24"/>
          <w:szCs w:val="24"/>
        </w:rPr>
        <w:t>параклиническом</w:t>
      </w:r>
      <w:proofErr w:type="spellEnd"/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 подразделениях;</w:t>
      </w:r>
    </w:p>
    <w:p w:rsidR="00086A48" w:rsidRPr="00FD314A" w:rsidRDefault="00CB573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пересмотрены 44 правил для сотрудников, описывающие процессы и процедуры от приема пациента в приемном покое до его выписки, а также внедрены формы медицинской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документации, в соответствии с международными требованиями; </w:t>
      </w:r>
    </w:p>
    <w:p w:rsidR="00086A48" w:rsidRPr="00FD314A" w:rsidRDefault="00CB573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пересмотрены 56 клинических протоколов диагностики и лечения нейрохирургических пациентов, созданных на основе лучших мировых практик и доказательной медицины; </w:t>
      </w:r>
    </w:p>
    <w:p w:rsidR="00086A48" w:rsidRPr="00FD314A" w:rsidRDefault="00086A48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пересмотрены 16 </w:t>
      </w: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Стандартных</w:t>
      </w:r>
      <w:proofErr w:type="gram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операционные процедуры (</w:t>
      </w:r>
      <w:proofErr w:type="spellStart"/>
      <w:r w:rsidRPr="00FD314A">
        <w:rPr>
          <w:rFonts w:ascii="Times New Roman" w:hAnsi="Times New Roman" w:cs="Times New Roman"/>
          <w:i/>
          <w:sz w:val="24"/>
          <w:szCs w:val="24"/>
        </w:rPr>
        <w:t>СОПы</w:t>
      </w:r>
      <w:proofErr w:type="spell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) для среднего и младшего медицинского персонала, соответствующие международным стандартам; </w:t>
      </w:r>
    </w:p>
    <w:p w:rsidR="00086A48" w:rsidRPr="00FD314A" w:rsidRDefault="00CB573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в области анестезиологии и реанимации </w:t>
      </w:r>
      <w:proofErr w:type="spellStart"/>
      <w:r w:rsidR="00086A48" w:rsidRPr="00FD314A">
        <w:rPr>
          <w:rFonts w:ascii="Times New Roman" w:hAnsi="Times New Roman" w:cs="Times New Roman"/>
          <w:i/>
          <w:sz w:val="24"/>
          <w:szCs w:val="24"/>
        </w:rPr>
        <w:t>переутверждено</w:t>
      </w:r>
      <w:proofErr w:type="spellEnd"/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 «Руководство по анестезии и </w:t>
      </w:r>
      <w:proofErr w:type="spellStart"/>
      <w:r w:rsidR="00086A48" w:rsidRPr="00FD314A">
        <w:rPr>
          <w:rFonts w:ascii="Times New Roman" w:hAnsi="Times New Roman" w:cs="Times New Roman"/>
          <w:i/>
          <w:sz w:val="24"/>
          <w:szCs w:val="24"/>
        </w:rPr>
        <w:t>седации</w:t>
      </w:r>
      <w:proofErr w:type="spellEnd"/>
      <w:r w:rsidR="00086A48" w:rsidRPr="00FD314A">
        <w:rPr>
          <w:rFonts w:ascii="Times New Roman" w:hAnsi="Times New Roman" w:cs="Times New Roman"/>
          <w:i/>
          <w:sz w:val="24"/>
          <w:szCs w:val="24"/>
        </w:rPr>
        <w:t>», разработаны и внедрены 28 алгоритмов проведения манипуляций;</w:t>
      </w:r>
    </w:p>
    <w:p w:rsidR="00086A48" w:rsidRPr="00FD314A" w:rsidRDefault="00086A48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осуществлен проект по снижению рисков (FMEA) на тему: «Снижение риска процедурных кабинетов, путем создания Отдела госпитальной фармации, включающего группы клинической фармакологии, фармации, аптеки (склада);</w:t>
      </w:r>
    </w:p>
    <w:p w:rsidR="00086A48" w:rsidRPr="00FD314A" w:rsidRDefault="00CB573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внедрены стандарты госпитального сервиса по дорожной карте путем создания Сектора госпитального сервиса в составе Управления контроля качества с передачей функции </w:t>
      </w:r>
      <w:proofErr w:type="spellStart"/>
      <w:r w:rsidR="00086A48" w:rsidRPr="00FD314A">
        <w:rPr>
          <w:rFonts w:ascii="Times New Roman" w:hAnsi="Times New Roman" w:cs="Times New Roman"/>
          <w:i/>
          <w:sz w:val="24"/>
          <w:szCs w:val="24"/>
        </w:rPr>
        <w:t>Call</w:t>
      </w:r>
      <w:proofErr w:type="spellEnd"/>
      <w:r w:rsidR="00086A48" w:rsidRPr="00FD314A">
        <w:rPr>
          <w:rFonts w:ascii="Times New Roman" w:hAnsi="Times New Roman" w:cs="Times New Roman"/>
          <w:i/>
          <w:sz w:val="24"/>
          <w:szCs w:val="24"/>
        </w:rPr>
        <w:t>- центра, регистратуры и пункта приема денег.</w:t>
      </w:r>
    </w:p>
    <w:p w:rsidR="00086A48" w:rsidRPr="00FD314A" w:rsidRDefault="00086A48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По оценке отдела менеджмента качества и безопасности пациентов, уровень соблюдения стандартов </w:t>
      </w:r>
      <w:r w:rsidR="0044223C" w:rsidRPr="00FD314A">
        <w:rPr>
          <w:rFonts w:ascii="Times New Roman" w:hAnsi="Times New Roman" w:cs="Times New Roman"/>
          <w:i/>
          <w:sz w:val="24"/>
          <w:szCs w:val="24"/>
        </w:rPr>
        <w:t>аккредитации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за отчетный период составляет 100%. </w:t>
      </w:r>
    </w:p>
    <w:p w:rsidR="00086A48" w:rsidRPr="00FD314A" w:rsidRDefault="0030642A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В 201</w:t>
      </w:r>
      <w:r w:rsidR="001715FE" w:rsidRPr="00FD314A">
        <w:rPr>
          <w:rFonts w:ascii="Times New Roman" w:hAnsi="Times New Roman" w:cs="Times New Roman"/>
          <w:i/>
          <w:sz w:val="24"/>
          <w:szCs w:val="24"/>
        </w:rPr>
        <w:t>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 неза</w:t>
      </w:r>
      <w:r w:rsidR="0044223C" w:rsidRPr="00FD314A">
        <w:rPr>
          <w:rFonts w:ascii="Times New Roman" w:hAnsi="Times New Roman" w:cs="Times New Roman"/>
          <w:i/>
          <w:sz w:val="24"/>
          <w:szCs w:val="24"/>
        </w:rPr>
        <w:t xml:space="preserve">висимой международной комиссией 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проведена проверка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. Экспертами данной комиссии анализирована вся деятельность клиники – работа врачей, среднего и младшего медицинского персонала, административного блока, инженерных и немедицинских служб. По результатам данной проверки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23C" w:rsidRPr="00FD314A">
        <w:rPr>
          <w:rFonts w:ascii="Times New Roman" w:hAnsi="Times New Roman" w:cs="Times New Roman"/>
          <w:i/>
          <w:sz w:val="24"/>
          <w:szCs w:val="24"/>
        </w:rPr>
        <w:t xml:space="preserve">успешно пройдена </w:t>
      </w:r>
      <w:proofErr w:type="spellStart"/>
      <w:r w:rsidR="0044223C" w:rsidRPr="00FD314A">
        <w:rPr>
          <w:rFonts w:ascii="Times New Roman" w:hAnsi="Times New Roman" w:cs="Times New Roman"/>
          <w:i/>
          <w:sz w:val="24"/>
          <w:szCs w:val="24"/>
        </w:rPr>
        <w:t>реаккредитация</w:t>
      </w:r>
      <w:proofErr w:type="spellEnd"/>
      <w:r w:rsidR="00086A48" w:rsidRPr="00FD314A">
        <w:rPr>
          <w:rFonts w:ascii="Times New Roman" w:hAnsi="Times New Roman" w:cs="Times New Roman"/>
          <w:i/>
          <w:sz w:val="24"/>
          <w:szCs w:val="24"/>
        </w:rPr>
        <w:t xml:space="preserve">, что подтверждает ориентированность деятельности клиники на высокие стандарты качества и безопасность лечения пациентов.  </w:t>
      </w:r>
    </w:p>
    <w:p w:rsidR="00086A48" w:rsidRPr="00FD314A" w:rsidRDefault="00086A48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642A" w:rsidRPr="00FD314A" w:rsidRDefault="001A5B32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.2. </w:t>
      </w:r>
      <w:r w:rsidR="00C173D8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Управление структурой больных (ранжирование по весовым коэффициентам, развитие </w:t>
      </w:r>
      <w:proofErr w:type="spellStart"/>
      <w:r w:rsidR="00C173D8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стационарзамещающих</w:t>
      </w:r>
      <w:proofErr w:type="spellEnd"/>
      <w:r w:rsidR="00C173D8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технологий)</w:t>
      </w:r>
    </w:p>
    <w:p w:rsidR="003D2667" w:rsidRPr="00FD314A" w:rsidRDefault="003D2667" w:rsidP="00FD31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Уровень использования коечного фонда за 2016 год составил 100% при плане 100%.</w:t>
      </w:r>
    </w:p>
    <w:p w:rsidR="0027055C" w:rsidRPr="00FD314A" w:rsidRDefault="003D2667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 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>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>од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наблюдается снижение средней длительности пребывания (СДП) пациентов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 xml:space="preserve"> в отделениях с 12,7 дней в 2016 г. до 9,8 в 2017 г. при плане 11</w:t>
      </w:r>
      <w:r w:rsidR="008503D1" w:rsidRPr="00FD314A">
        <w:rPr>
          <w:rFonts w:ascii="Times New Roman" w:hAnsi="Times New Roman" w:cs="Times New Roman"/>
          <w:i/>
          <w:sz w:val="24"/>
          <w:szCs w:val="24"/>
        </w:rPr>
        <w:t>,2 дней за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:rsidR="0027055C" w:rsidRPr="00FD314A" w:rsidRDefault="003D2667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>Отмечается увеличение об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>орота койки на 9%</w:t>
      </w:r>
      <w:r w:rsidR="005B24F2" w:rsidRPr="00FD314A">
        <w:rPr>
          <w:rFonts w:ascii="Times New Roman" w:hAnsi="Times New Roman" w:cs="Times New Roman"/>
          <w:i/>
          <w:sz w:val="24"/>
          <w:szCs w:val="24"/>
        </w:rPr>
        <w:t>: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 xml:space="preserve"> с 32,1 в 2016 г. до 35 в 2017 г., при плане 32,5 </w:t>
      </w:r>
      <w:proofErr w:type="gramStart"/>
      <w:r w:rsidR="0027055C" w:rsidRPr="00FD314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7055C" w:rsidRPr="00FD314A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При этом, количество поступивших больных увеличилось на 10%</w:t>
      </w:r>
      <w:r w:rsidR="005B24F2" w:rsidRPr="00FD314A">
        <w:rPr>
          <w:rFonts w:ascii="Times New Roman" w:hAnsi="Times New Roman" w:cs="Times New Roman"/>
          <w:i/>
          <w:sz w:val="24"/>
          <w:szCs w:val="24"/>
        </w:rPr>
        <w:t>: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>5478 поступивших больных за 2016 г</w:t>
      </w:r>
      <w:r w:rsidR="005B24F2" w:rsidRPr="00FD314A">
        <w:rPr>
          <w:rFonts w:ascii="Times New Roman" w:hAnsi="Times New Roman" w:cs="Times New Roman"/>
          <w:i/>
          <w:sz w:val="24"/>
          <w:szCs w:val="24"/>
        </w:rPr>
        <w:t>.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 xml:space="preserve"> до 5994 в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г.; увеличило</w:t>
      </w:r>
      <w:r w:rsidR="008503D1" w:rsidRPr="00FD314A">
        <w:rPr>
          <w:rFonts w:ascii="Times New Roman" w:hAnsi="Times New Roman" w:cs="Times New Roman"/>
          <w:i/>
          <w:sz w:val="24"/>
          <w:szCs w:val="24"/>
        </w:rPr>
        <w:t>сь количество выписанных за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г. на 9%, что сос</w:t>
      </w:r>
      <w:r w:rsidR="008503D1" w:rsidRPr="00FD314A">
        <w:rPr>
          <w:rFonts w:ascii="Times New Roman" w:hAnsi="Times New Roman" w:cs="Times New Roman"/>
          <w:i/>
          <w:sz w:val="24"/>
          <w:szCs w:val="24"/>
        </w:rPr>
        <w:t>тавляло 6945 против 6360 за 2016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г. </w:t>
      </w:r>
      <w:proofErr w:type="gramEnd"/>
    </w:p>
    <w:p w:rsidR="003D2667" w:rsidRPr="00FD314A" w:rsidRDefault="003D2667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4A">
        <w:rPr>
          <w:rFonts w:ascii="Times New Roman" w:hAnsi="Times New Roman" w:cs="Times New Roman"/>
          <w:i/>
          <w:sz w:val="24"/>
          <w:szCs w:val="24"/>
        </w:rPr>
        <w:t xml:space="preserve">Доля </w:t>
      </w:r>
      <w:proofErr w:type="gramStart"/>
      <w:r w:rsidRPr="00FD314A">
        <w:rPr>
          <w:rFonts w:ascii="Times New Roman" w:hAnsi="Times New Roman" w:cs="Times New Roman"/>
          <w:i/>
          <w:sz w:val="24"/>
          <w:szCs w:val="24"/>
        </w:rPr>
        <w:t>пацие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>нтов, пролеченных по ВСМП в 2017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 составила</w:t>
      </w:r>
      <w:proofErr w:type="gramEnd"/>
      <w:r w:rsidRPr="00FD314A">
        <w:rPr>
          <w:rFonts w:ascii="Times New Roman" w:hAnsi="Times New Roman" w:cs="Times New Roman"/>
          <w:i/>
          <w:sz w:val="24"/>
          <w:szCs w:val="24"/>
        </w:rPr>
        <w:t xml:space="preserve"> 57,4% при </w:t>
      </w:r>
      <w:r w:rsidR="0027055C" w:rsidRPr="00FD314A">
        <w:rPr>
          <w:rFonts w:ascii="Times New Roman" w:hAnsi="Times New Roman" w:cs="Times New Roman"/>
          <w:i/>
          <w:sz w:val="24"/>
          <w:szCs w:val="24"/>
        </w:rPr>
        <w:t>плане 43,5%, против 56,3% в 2016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году. </w:t>
      </w:r>
    </w:p>
    <w:p w:rsidR="00C273D0" w:rsidRPr="00FD314A" w:rsidRDefault="00C273D0" w:rsidP="00FD31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За 201</w:t>
      </w:r>
      <w:r w:rsidR="0027055C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</w:t>
      </w:r>
      <w:r w:rsidR="0027055C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од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наблюдается снижение показателей госпи</w:t>
      </w:r>
      <w:r w:rsidR="0027055C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тальной летальности с 1,0 в 2016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7055C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г. до 0,9 в 2017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 Также отмечается снижение послеопера</w:t>
      </w:r>
      <w:r w:rsidR="0027055C" w:rsidRPr="00FD314A">
        <w:rPr>
          <w:rFonts w:ascii="Times New Roman" w:hAnsi="Times New Roman" w:cs="Times New Roman"/>
          <w:i/>
          <w:color w:val="000000"/>
          <w:sz w:val="24"/>
          <w:szCs w:val="24"/>
        </w:rPr>
        <w:t>ционной летальности с 1,7 в 2016 г. до 1,0 в 2017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 </w:t>
      </w:r>
      <w:proofErr w:type="gramEnd"/>
    </w:p>
    <w:p w:rsidR="00C273D0" w:rsidRPr="00FD314A" w:rsidRDefault="0027055C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За 2017</w:t>
      </w:r>
      <w:r w:rsidR="00C273D0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 снизился показатель внутрибольничной инфекции (да</w:t>
      </w:r>
      <w:r w:rsidRPr="00FD314A">
        <w:rPr>
          <w:rFonts w:ascii="Times New Roman" w:hAnsi="Times New Roman" w:cs="Times New Roman"/>
          <w:i/>
          <w:color w:val="000000"/>
          <w:sz w:val="24"/>
          <w:szCs w:val="24"/>
        </w:rPr>
        <w:t>лее – ВБИ) на 50%, с 0,6% в 2016 г. до 0,3% в 2017</w:t>
      </w:r>
      <w:r w:rsidR="00C273D0" w:rsidRPr="00FD31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году.</w:t>
      </w:r>
    </w:p>
    <w:p w:rsidR="003D2667" w:rsidRPr="00FD314A" w:rsidRDefault="003D2667" w:rsidP="00FD314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6DD4" w:rsidRPr="00FD314A" w:rsidRDefault="001A5B32" w:rsidP="00FD314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.3. </w:t>
      </w:r>
      <w:r w:rsidR="00C173D8" w:rsidRPr="00FD314A">
        <w:rPr>
          <w:rFonts w:ascii="Times New Roman" w:hAnsi="Times New Roman" w:cs="Times New Roman"/>
          <w:b/>
          <w:sz w:val="24"/>
          <w:szCs w:val="24"/>
        </w:rPr>
        <w:t>Управление лекарственными препаратами, медицинск</w:t>
      </w:r>
      <w:r w:rsidRPr="00FD314A">
        <w:rPr>
          <w:rFonts w:ascii="Times New Roman" w:hAnsi="Times New Roman" w:cs="Times New Roman"/>
          <w:b/>
          <w:sz w:val="24"/>
          <w:szCs w:val="24"/>
        </w:rPr>
        <w:t>ими изделиями.</w:t>
      </w:r>
    </w:p>
    <w:p w:rsidR="00AF457A" w:rsidRPr="00FD314A" w:rsidRDefault="00C273D0" w:rsidP="00FD314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области лекарственной безопасности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переутверждены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«Руководство по использованию лекарственных средств», «Руководство по </w:t>
      </w:r>
      <w:proofErr w:type="spellStart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антибиотикопрофилактике</w:t>
      </w:r>
      <w:proofErr w:type="spellEnd"/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(приказ Председателя Правления № </w:t>
      </w:r>
      <w:r w:rsidR="0027055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9-8 от 15.05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.2015 г. «О внесении изменений и дополнений в</w:t>
      </w:r>
      <w:r w:rsidR="0027055C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приказ № 10-02/28 от 17.02.2015</w:t>
      </w: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года»). </w:t>
      </w:r>
    </w:p>
    <w:p w:rsidR="00D8545D" w:rsidRPr="00FD314A" w:rsidRDefault="00D8545D" w:rsidP="00FD31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D8545D" w:rsidRPr="00FD314A" w:rsidRDefault="001A5B32" w:rsidP="00FD314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="0027055C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7A6DD4"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. Новые технологии, патенты, научные и клинические исследования</w:t>
      </w:r>
      <w:r w:rsidRPr="00FD314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D8545D" w:rsidRPr="00FD314A" w:rsidRDefault="00D8545D" w:rsidP="00FD314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Cs/>
          <w:i/>
          <w:kern w:val="24"/>
          <w:sz w:val="24"/>
          <w:szCs w:val="24"/>
          <w:lang w:val="kk-KZ"/>
        </w:rPr>
        <w:t>Для достижения данной цели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определены 4 задачи, в которых предусмотрены 5 мероприятий  и 4 индикатора. </w:t>
      </w:r>
    </w:p>
    <w:p w:rsidR="00D8545D" w:rsidRPr="00FD314A" w:rsidRDefault="00D8545D" w:rsidP="00FD314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/>
          <w:i/>
          <w:sz w:val="24"/>
          <w:szCs w:val="24"/>
          <w:lang w:val="kk-KZ"/>
        </w:rPr>
        <w:t>Задача 1. Внедрение международных стандартов менеджмента научной деятельности: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Мероприятие 1.</w:t>
      </w:r>
      <w:r w:rsidRPr="00FD31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Приведение научно-исследовательского процесса к международным стандартам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(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GCP).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 28 </w:t>
      </w:r>
      <w:r w:rsidR="0027055C" w:rsidRPr="00FD314A">
        <w:rPr>
          <w:rFonts w:ascii="Times New Roman" w:hAnsi="Times New Roman" w:cs="Times New Roman"/>
          <w:i/>
          <w:sz w:val="24"/>
          <w:szCs w:val="24"/>
          <w:lang w:val="kk-KZ"/>
        </w:rPr>
        <w:t>ноября по 2 декабря 2017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года на базе РГП на ПХВ «РЦРЗ» проведено обучение 3 сотрудников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 теме: </w:t>
      </w:r>
      <w:r w:rsidRPr="00FD314A">
        <w:rPr>
          <w:rFonts w:ascii="Times New Roman" w:hAnsi="Times New Roman" w:cs="Times New Roman"/>
          <w:i/>
          <w:sz w:val="24"/>
          <w:szCs w:val="24"/>
        </w:rPr>
        <w:t>«Надлежащая клиническая практика (GCP)/Надлежащая клиническая лабораторная практика (GCLP). Этика научных исследований».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Данное мероприятие неисполнено ввиду  того, что научные исследования не предполагали получение дохода</w:t>
      </w:r>
      <w:r w:rsidR="00A977B0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коммерциализации результатов научных исследований.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Задача </w:t>
      </w:r>
      <w:r w:rsidR="0044223C" w:rsidRPr="00FD31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Pr="00FD31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Интеграция в международное научное сообщество, включая участие в международных </w:t>
      </w:r>
      <w:proofErr w:type="spellStart"/>
      <w:r w:rsidRPr="00FD31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мультицентровых</w:t>
      </w:r>
      <w:proofErr w:type="spellEnd"/>
      <w:r w:rsidRPr="00FD31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клинических испытаниях и облачных исследованиях: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Мероприятие 1.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Налаживание активного международного сотрудничества с мировыми медицинскими научными центрами.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545D" w:rsidRPr="00FD314A" w:rsidRDefault="001715FE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545D" w:rsidRPr="00FD314A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D8545D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 постоянной основе ведется деловая переписка с мировыми медицинскими научными центрами. 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>В отчетном году з</w:t>
      </w:r>
      <w:r w:rsidR="0027055C" w:rsidRPr="00FD314A">
        <w:rPr>
          <w:rFonts w:ascii="Times New Roman" w:hAnsi="Times New Roman" w:cs="Times New Roman"/>
          <w:i/>
          <w:sz w:val="24"/>
          <w:szCs w:val="24"/>
          <w:lang w:val="kk-KZ"/>
        </w:rPr>
        <w:t>аключены следующие меморандумы:</w:t>
      </w:r>
    </w:p>
    <w:p w:rsidR="00D8545D" w:rsidRPr="00FD314A" w:rsidRDefault="0044223C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31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Задача 3</w:t>
      </w:r>
      <w:r w:rsidR="00D8545D" w:rsidRPr="00FD31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Обеспечение коммерческой привлекательности научных разработок: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Мероприятие 1.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 научной деятельности в рамках бюджетных программ (научные гранты из различных источников).</w:t>
      </w:r>
    </w:p>
    <w:p w:rsidR="00D8545D" w:rsidRPr="00FD314A" w:rsidRDefault="001715FE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D8545D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подписан договор с Комитетом науки Министерства образования и науки РК (далее </w:t>
      </w:r>
      <w:r w:rsidR="00D8545D"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8545D" w:rsidRPr="00FD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45D" w:rsidRPr="00FD314A">
        <w:rPr>
          <w:rFonts w:ascii="Times New Roman" w:hAnsi="Times New Roman" w:cs="Times New Roman"/>
          <w:i/>
          <w:sz w:val="24"/>
          <w:szCs w:val="24"/>
          <w:lang w:eastAsia="ko-KR"/>
        </w:rPr>
        <w:t>КН МОН РК</w:t>
      </w:r>
      <w:r w:rsidR="00D8545D" w:rsidRPr="00FD314A">
        <w:rPr>
          <w:rFonts w:ascii="Times New Roman" w:hAnsi="Times New Roman" w:cs="Times New Roman"/>
          <w:i/>
          <w:sz w:val="24"/>
          <w:szCs w:val="24"/>
          <w:lang w:val="kk-KZ"/>
        </w:rPr>
        <w:t>) №1</w:t>
      </w:r>
      <w:r w:rsidR="0027055C" w:rsidRPr="00FD314A">
        <w:rPr>
          <w:rFonts w:ascii="Times New Roman" w:hAnsi="Times New Roman" w:cs="Times New Roman"/>
          <w:i/>
          <w:sz w:val="24"/>
          <w:szCs w:val="24"/>
          <w:lang w:val="kk-KZ"/>
        </w:rPr>
        <w:t>65</w:t>
      </w:r>
      <w:r w:rsidR="00D8545D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 </w:t>
      </w:r>
      <w:r w:rsidR="0027055C" w:rsidRPr="00FD314A">
        <w:rPr>
          <w:rFonts w:ascii="Times New Roman" w:hAnsi="Times New Roman" w:cs="Times New Roman"/>
          <w:i/>
          <w:sz w:val="24"/>
          <w:szCs w:val="24"/>
          <w:lang w:val="kk-KZ"/>
        </w:rPr>
        <w:t>04</w:t>
      </w:r>
      <w:r w:rsidR="00D8545D" w:rsidRPr="00FD314A">
        <w:rPr>
          <w:rFonts w:ascii="Times New Roman" w:hAnsi="Times New Roman" w:cs="Times New Roman"/>
          <w:i/>
          <w:sz w:val="24"/>
          <w:szCs w:val="24"/>
          <w:lang w:val="kk-KZ"/>
        </w:rPr>
        <w:t>.0</w:t>
      </w:r>
      <w:r w:rsidR="0027055C" w:rsidRPr="00FD314A">
        <w:rPr>
          <w:rFonts w:ascii="Times New Roman" w:hAnsi="Times New Roman" w:cs="Times New Roman"/>
          <w:i/>
          <w:sz w:val="24"/>
          <w:szCs w:val="24"/>
          <w:lang w:val="kk-KZ"/>
        </w:rPr>
        <w:t>1.2017</w:t>
      </w:r>
      <w:r w:rsidR="00D8545D"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г. о фина</w:t>
      </w:r>
      <w:r w:rsid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нсировании 3 проектов в рамках </w:t>
      </w:r>
      <w:r w:rsidR="00D8545D" w:rsidRPr="00FD314A">
        <w:rPr>
          <w:rFonts w:ascii="Times New Roman" w:hAnsi="Times New Roman" w:cs="Times New Roman"/>
          <w:i/>
          <w:sz w:val="24"/>
          <w:szCs w:val="24"/>
          <w:lang w:val="kk-KZ"/>
        </w:rPr>
        <w:t>ГФ.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14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Мероприятие 2.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D314A">
        <w:rPr>
          <w:rFonts w:ascii="Times New Roman" w:hAnsi="Times New Roman" w:cs="Times New Roman"/>
          <w:i/>
          <w:sz w:val="24"/>
          <w:szCs w:val="24"/>
        </w:rPr>
        <w:t>Разработка и внедрение эффективных механизмов коммерциализации результатов научных исследований и разработок.</w:t>
      </w:r>
      <w:r w:rsidRPr="00FD31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8545D" w:rsidRPr="00FD314A" w:rsidRDefault="00D8545D" w:rsidP="00FD3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На заседании Ученого совета </w:t>
      </w:r>
      <w:r w:rsidR="001715FE" w:rsidRPr="00FD314A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представлен перечень механизмов коммерциализации результатов научной деятельности, составленный согласно пунктам Закона РК «О коммерциализации результатов научной и (или) научно-технической </w:t>
      </w:r>
      <w:r w:rsidRPr="00FD314A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деятельности» </w:t>
      </w:r>
      <w:r w:rsidRPr="00FD3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381-V ЗРК от 31 октября 2015 года. Сотрудники отделений ознакомлены с перечнем механизмов коммерциализации результатов научной деятельности для дальнейшего внедрения в планы работы отделений. </w:t>
      </w:r>
    </w:p>
    <w:p w:rsidR="00921C70" w:rsidRDefault="00921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1C8B" w:rsidRPr="00D8545D" w:rsidRDefault="00261C8B" w:rsidP="00CB573D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ПРИЛОЖЕНИЯ</w:t>
      </w:r>
    </w:p>
    <w:p w:rsidR="007612A8" w:rsidRPr="00D8545D" w:rsidRDefault="007612A8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Результаты достижения целевых индикаторов стратегических направлений в соответствии со стратегическим планом*</w:t>
      </w: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</w:t>
      </w:r>
      <w:r w:rsidR="00812724">
        <w:rPr>
          <w:rFonts w:ascii="Times New Roman" w:hAnsi="Times New Roman" w:cs="Times New Roman"/>
          <w:b/>
          <w:sz w:val="24"/>
          <w:szCs w:val="24"/>
        </w:rPr>
        <w:t>ическое направление 1 (финансы)</w:t>
      </w: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0"/>
        <w:gridCol w:w="1588"/>
        <w:gridCol w:w="1200"/>
        <w:gridCol w:w="1403"/>
        <w:gridCol w:w="1421"/>
        <w:gridCol w:w="1364"/>
        <w:gridCol w:w="1251"/>
        <w:gridCol w:w="1206"/>
      </w:tblGrid>
      <w:tr w:rsidR="005E7945" w:rsidRPr="00D8545D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:rsidTr="009F1E67">
        <w:tc>
          <w:tcPr>
            <w:tcW w:w="213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:rsidTr="009F1E67">
        <w:tc>
          <w:tcPr>
            <w:tcW w:w="213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pct"/>
          </w:tcPr>
          <w:p w:rsidR="005E7945" w:rsidRPr="00745561" w:rsidRDefault="00F85551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Доход на 1 койку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  <w:r w:rsidRPr="0074556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609" w:type="pct"/>
          </w:tcPr>
          <w:p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(млн. тенге)</w:t>
            </w:r>
          </w:p>
        </w:tc>
        <w:tc>
          <w:tcPr>
            <w:tcW w:w="712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27,7</w:t>
            </w:r>
          </w:p>
        </w:tc>
        <w:tc>
          <w:tcPr>
            <w:tcW w:w="635" w:type="pct"/>
          </w:tcPr>
          <w:p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33,7</w:t>
            </w:r>
          </w:p>
        </w:tc>
        <w:tc>
          <w:tcPr>
            <w:tcW w:w="612" w:type="pct"/>
          </w:tcPr>
          <w:p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639D5" w:rsidRPr="00D8545D" w:rsidTr="009F1E67">
        <w:tc>
          <w:tcPr>
            <w:tcW w:w="213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pct"/>
          </w:tcPr>
          <w:p w:rsidR="00C639D5" w:rsidRPr="00745561" w:rsidRDefault="00C639D5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Доля доходов от платных услуг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7,4%</w:t>
            </w:r>
          </w:p>
        </w:tc>
        <w:tc>
          <w:tcPr>
            <w:tcW w:w="635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9,9% </w:t>
            </w:r>
          </w:p>
        </w:tc>
        <w:tc>
          <w:tcPr>
            <w:tcW w:w="612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639D5" w:rsidRPr="00812724" w:rsidTr="009F1E67">
        <w:tc>
          <w:tcPr>
            <w:tcW w:w="213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:rsidR="00C639D5" w:rsidRPr="00745561" w:rsidRDefault="00812724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 xml:space="preserve">Рентабельность активов </w:t>
            </w:r>
            <w:r w:rsidRPr="00745561">
              <w:rPr>
                <w:rFonts w:ascii="Times New Roman" w:hAnsi="Times New Roman"/>
                <w:i/>
                <w:color w:val="C00000"/>
                <w:lang w:val="en-US"/>
              </w:rPr>
              <w:t>(ROA)</w:t>
            </w:r>
            <w:r w:rsidR="002A1BD2" w:rsidRPr="00745561">
              <w:rPr>
                <w:rFonts w:ascii="Times New Roman" w:hAnsi="Times New Roman"/>
                <w:i/>
                <w:color w:val="C00000"/>
              </w:rPr>
              <w:t>*</w:t>
            </w:r>
          </w:p>
        </w:tc>
        <w:tc>
          <w:tcPr>
            <w:tcW w:w="609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%</w:t>
            </w:r>
          </w:p>
        </w:tc>
        <w:tc>
          <w:tcPr>
            <w:tcW w:w="712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:rsidR="00C639D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  <w:color w:val="C00000"/>
                <w:lang w:val="en-US"/>
              </w:rPr>
              <w:t>0,4</w:t>
            </w:r>
            <w:r w:rsidR="00C639D5" w:rsidRPr="00745561">
              <w:rPr>
                <w:rFonts w:ascii="Times New Roman" w:hAnsi="Times New Roman"/>
                <w:i/>
                <w:color w:val="C00000"/>
              </w:rPr>
              <w:t>%</w:t>
            </w:r>
          </w:p>
        </w:tc>
        <w:tc>
          <w:tcPr>
            <w:tcW w:w="635" w:type="pct"/>
          </w:tcPr>
          <w:p w:rsidR="00C639D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0,01%</w:t>
            </w:r>
          </w:p>
        </w:tc>
        <w:tc>
          <w:tcPr>
            <w:tcW w:w="612" w:type="pct"/>
          </w:tcPr>
          <w:p w:rsidR="00C639D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Не достиг</w:t>
            </w:r>
          </w:p>
        </w:tc>
      </w:tr>
    </w:tbl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2 (пациенты)</w:t>
      </w:r>
    </w:p>
    <w:p w:rsidR="007B1501" w:rsidRDefault="007B1501" w:rsidP="00812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945" w:rsidRPr="007B1501" w:rsidRDefault="00281DF4" w:rsidP="007B1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</w:t>
      </w: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0"/>
        <w:gridCol w:w="1588"/>
        <w:gridCol w:w="26"/>
        <w:gridCol w:w="1174"/>
        <w:gridCol w:w="1403"/>
        <w:gridCol w:w="1421"/>
        <w:gridCol w:w="1364"/>
        <w:gridCol w:w="1251"/>
        <w:gridCol w:w="1206"/>
      </w:tblGrid>
      <w:tr w:rsidR="009D0AC6" w:rsidRPr="009D0AC6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gridSpan w:val="2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9D0AC6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9D0AC6" w:rsidRPr="009D0AC6" w:rsidTr="009F1E67">
        <w:tc>
          <w:tcPr>
            <w:tcW w:w="213" w:type="pct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2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5E7945" w:rsidRPr="009D0AC6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0AC6" w:rsidRPr="009D0AC6" w:rsidTr="00812724">
        <w:tc>
          <w:tcPr>
            <w:tcW w:w="213" w:type="pct"/>
          </w:tcPr>
          <w:p w:rsidR="005E7945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2"/>
          </w:tcPr>
          <w:p w:rsidR="005E7945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/>
                <w:i/>
              </w:rPr>
              <w:t>Удовлетворенность пациентов</w:t>
            </w:r>
            <w:r w:rsidR="002A1BD2" w:rsidRPr="009D0AC6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95" w:type="pct"/>
          </w:tcPr>
          <w:p w:rsidR="005E7945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:rsidR="005E7945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службы </w:t>
            </w:r>
          </w:p>
        </w:tc>
        <w:tc>
          <w:tcPr>
            <w:tcW w:w="721" w:type="pct"/>
          </w:tcPr>
          <w:p w:rsidR="005E7945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:rsidR="005E7945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/>
                <w:i/>
              </w:rPr>
              <w:t>95%</w:t>
            </w:r>
          </w:p>
        </w:tc>
        <w:tc>
          <w:tcPr>
            <w:tcW w:w="635" w:type="pct"/>
          </w:tcPr>
          <w:p w:rsidR="005E7945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/>
                <w:i/>
              </w:rPr>
              <w:t>96,7%</w:t>
            </w:r>
          </w:p>
        </w:tc>
        <w:tc>
          <w:tcPr>
            <w:tcW w:w="612" w:type="pct"/>
          </w:tcPr>
          <w:p w:rsidR="005E7945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9D0AC6" w:rsidRPr="009D0AC6" w:rsidTr="00812724">
        <w:tc>
          <w:tcPr>
            <w:tcW w:w="213" w:type="pct"/>
          </w:tcPr>
          <w:p w:rsidR="00812724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2"/>
          </w:tcPr>
          <w:p w:rsidR="00812724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Уровень послеоперационной летальности пациентов</w:t>
            </w:r>
            <w:r w:rsidR="002A1BD2" w:rsidRPr="009D0AC6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95" w:type="pct"/>
          </w:tcPr>
          <w:p w:rsidR="00812724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:rsidR="00812724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721" w:type="pct"/>
          </w:tcPr>
          <w:p w:rsidR="00812724" w:rsidRPr="009D0AC6" w:rsidRDefault="007B1501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отдел</w:t>
            </w:r>
          </w:p>
        </w:tc>
        <w:tc>
          <w:tcPr>
            <w:tcW w:w="692" w:type="pct"/>
          </w:tcPr>
          <w:p w:rsidR="00812724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более 1,6%</w:t>
            </w:r>
          </w:p>
        </w:tc>
        <w:tc>
          <w:tcPr>
            <w:tcW w:w="635" w:type="pct"/>
          </w:tcPr>
          <w:p w:rsidR="00812724" w:rsidRPr="009D0AC6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0,8%</w:t>
            </w:r>
          </w:p>
        </w:tc>
        <w:tc>
          <w:tcPr>
            <w:tcW w:w="612" w:type="pct"/>
          </w:tcPr>
          <w:p w:rsidR="00812724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9D0AC6" w:rsidRPr="009D0AC6" w:rsidTr="00812724">
        <w:tc>
          <w:tcPr>
            <w:tcW w:w="213" w:type="pct"/>
          </w:tcPr>
          <w:p w:rsidR="007B1501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19" w:type="pct"/>
            <w:gridSpan w:val="2"/>
          </w:tcPr>
          <w:p w:rsidR="007B1501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Доля пациентов, пролеченных по ВСМП</w:t>
            </w:r>
            <w:r w:rsidR="002A1BD2" w:rsidRPr="009D0AC6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95" w:type="pct"/>
          </w:tcPr>
          <w:p w:rsidR="007B1501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:rsidR="007B1501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721" w:type="pct"/>
          </w:tcPr>
          <w:p w:rsidR="007B1501" w:rsidRPr="009D0AC6" w:rsidRDefault="007B1501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отдел</w:t>
            </w:r>
          </w:p>
        </w:tc>
        <w:tc>
          <w:tcPr>
            <w:tcW w:w="692" w:type="pct"/>
          </w:tcPr>
          <w:p w:rsidR="007B1501" w:rsidRPr="009D0AC6" w:rsidRDefault="007B1501" w:rsidP="007B150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менее 45%</w:t>
            </w:r>
          </w:p>
        </w:tc>
        <w:tc>
          <w:tcPr>
            <w:tcW w:w="635" w:type="pct"/>
          </w:tcPr>
          <w:p w:rsidR="007B1501" w:rsidRPr="009D0AC6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43 %</w:t>
            </w:r>
          </w:p>
        </w:tc>
        <w:tc>
          <w:tcPr>
            <w:tcW w:w="612" w:type="pct"/>
          </w:tcPr>
          <w:p w:rsidR="007B1501" w:rsidRPr="009D0AC6" w:rsidRDefault="007B1501" w:rsidP="007B150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достиг </w:t>
            </w:r>
          </w:p>
        </w:tc>
      </w:tr>
    </w:tbl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lastRenderedPageBreak/>
        <w:t>Стратегическое направление 3 (мотивация и развитие персонала)</w:t>
      </w: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0"/>
        <w:gridCol w:w="1588"/>
        <w:gridCol w:w="1200"/>
        <w:gridCol w:w="1403"/>
        <w:gridCol w:w="1421"/>
        <w:gridCol w:w="1364"/>
        <w:gridCol w:w="1251"/>
        <w:gridCol w:w="1206"/>
      </w:tblGrid>
      <w:tr w:rsidR="005E7945" w:rsidRPr="00D8545D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:rsidTr="009F1E67">
        <w:trPr>
          <w:trHeight w:val="235"/>
        </w:trPr>
        <w:tc>
          <w:tcPr>
            <w:tcW w:w="213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:rsidTr="009F1E67">
        <w:tc>
          <w:tcPr>
            <w:tcW w:w="213" w:type="pct"/>
          </w:tcPr>
          <w:p w:rsidR="005E7945" w:rsidRPr="00745561" w:rsidRDefault="00B9453C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Количество обученных сотрудников международным стандартам GCP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712" w:type="pct"/>
          </w:tcPr>
          <w:p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службы</w:t>
            </w:r>
          </w:p>
        </w:tc>
        <w:tc>
          <w:tcPr>
            <w:tcW w:w="721" w:type="pct"/>
          </w:tcPr>
          <w:p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5" w:type="pct"/>
          </w:tcPr>
          <w:p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7B1501" w:rsidRPr="00D8545D" w:rsidTr="009F1E67">
        <w:tc>
          <w:tcPr>
            <w:tcW w:w="213" w:type="pct"/>
          </w:tcPr>
          <w:p w:rsidR="007B1501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Текучесть кадров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службы</w:t>
            </w:r>
          </w:p>
        </w:tc>
        <w:tc>
          <w:tcPr>
            <w:tcW w:w="721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не более 9%</w:t>
            </w:r>
          </w:p>
        </w:tc>
        <w:tc>
          <w:tcPr>
            <w:tcW w:w="635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8,5%</w:t>
            </w:r>
          </w:p>
        </w:tc>
        <w:tc>
          <w:tcPr>
            <w:tcW w:w="612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7B1501" w:rsidRPr="00D8545D" w:rsidTr="009F1E67">
        <w:tc>
          <w:tcPr>
            <w:tcW w:w="213" w:type="pct"/>
          </w:tcPr>
          <w:p w:rsidR="007B1501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удовлетворенности персонала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службы</w:t>
            </w:r>
          </w:p>
        </w:tc>
        <w:tc>
          <w:tcPr>
            <w:tcW w:w="721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70%</w:t>
            </w:r>
          </w:p>
        </w:tc>
        <w:tc>
          <w:tcPr>
            <w:tcW w:w="635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85%</w:t>
            </w:r>
          </w:p>
        </w:tc>
        <w:tc>
          <w:tcPr>
            <w:tcW w:w="612" w:type="pct"/>
          </w:tcPr>
          <w:p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</w:tbl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4 (операционные процессы)</w:t>
      </w: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0"/>
        <w:gridCol w:w="1588"/>
        <w:gridCol w:w="1200"/>
        <w:gridCol w:w="1403"/>
        <w:gridCol w:w="1421"/>
        <w:gridCol w:w="1364"/>
        <w:gridCol w:w="1251"/>
        <w:gridCol w:w="1206"/>
      </w:tblGrid>
      <w:tr w:rsidR="005E7945" w:rsidRPr="00D8545D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:rsidTr="009F1E67">
        <w:tc>
          <w:tcPr>
            <w:tcW w:w="213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:rsidTr="009F1E67">
        <w:tc>
          <w:tcPr>
            <w:tcW w:w="213" w:type="pct"/>
          </w:tcPr>
          <w:p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повторного поступления (в течение месяца по поводу одного и того же заболевания)</w:t>
            </w:r>
            <w:r w:rsidR="002A1BD2"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609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Случаи</w:t>
            </w:r>
          </w:p>
        </w:tc>
        <w:tc>
          <w:tcPr>
            <w:tcW w:w="712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721" w:type="pct"/>
          </w:tcPr>
          <w:p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692" w:type="pct"/>
          </w:tcPr>
          <w:p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</w:t>
            </w:r>
          </w:p>
        </w:tc>
        <w:tc>
          <w:tcPr>
            <w:tcW w:w="635" w:type="pct"/>
          </w:tcPr>
          <w:p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2A1BD2" w:rsidRPr="00D8545D" w:rsidTr="009F1E67">
        <w:tc>
          <w:tcPr>
            <w:tcW w:w="213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Средняя длительность пребывания пациента в стационаре*</w:t>
            </w:r>
          </w:p>
        </w:tc>
        <w:tc>
          <w:tcPr>
            <w:tcW w:w="609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Дни</w:t>
            </w:r>
          </w:p>
        </w:tc>
        <w:tc>
          <w:tcPr>
            <w:tcW w:w="712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721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692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не более 12,1 дней</w:t>
            </w:r>
          </w:p>
        </w:tc>
        <w:tc>
          <w:tcPr>
            <w:tcW w:w="635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11,5</w:t>
            </w:r>
          </w:p>
        </w:tc>
        <w:tc>
          <w:tcPr>
            <w:tcW w:w="612" w:type="pct"/>
          </w:tcPr>
          <w:p w:rsidR="002A1BD2" w:rsidRPr="00745561" w:rsidRDefault="002A1BD2" w:rsidP="00F049B0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2A1BD2" w:rsidRPr="00D8545D" w:rsidTr="009F1E67">
        <w:tc>
          <w:tcPr>
            <w:tcW w:w="213" w:type="pct"/>
          </w:tcPr>
          <w:p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:rsidR="002A1BD2" w:rsidRPr="009D0AC6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Оборот койки*</w:t>
            </w:r>
          </w:p>
        </w:tc>
        <w:tc>
          <w:tcPr>
            <w:tcW w:w="609" w:type="pct"/>
          </w:tcPr>
          <w:p w:rsidR="002A1BD2" w:rsidRPr="009D0AC6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712" w:type="pct"/>
          </w:tcPr>
          <w:p w:rsidR="002A1BD2" w:rsidRPr="009D0AC6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721" w:type="pct"/>
          </w:tcPr>
          <w:p w:rsidR="002A1BD2" w:rsidRPr="009D0AC6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главного врача</w:t>
            </w:r>
          </w:p>
        </w:tc>
        <w:tc>
          <w:tcPr>
            <w:tcW w:w="692" w:type="pct"/>
          </w:tcPr>
          <w:p w:rsidR="002A1BD2" w:rsidRPr="009D0AC6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не менее 26,9 раза</w:t>
            </w:r>
          </w:p>
        </w:tc>
        <w:tc>
          <w:tcPr>
            <w:tcW w:w="635" w:type="pct"/>
          </w:tcPr>
          <w:p w:rsidR="002A1BD2" w:rsidRPr="009D0AC6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D0AC6">
              <w:rPr>
                <w:rFonts w:ascii="Times New Roman" w:hAnsi="Times New Roman"/>
                <w:i/>
              </w:rPr>
              <w:t>26,8</w:t>
            </w:r>
          </w:p>
        </w:tc>
        <w:tc>
          <w:tcPr>
            <w:tcW w:w="612" w:type="pct"/>
          </w:tcPr>
          <w:p w:rsidR="002A1BD2" w:rsidRPr="009D0AC6" w:rsidRDefault="002A1BD2" w:rsidP="00F049B0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C6">
              <w:rPr>
                <w:rFonts w:ascii="Times New Roman" w:hAnsi="Times New Roman" w:cs="Times New Roman"/>
                <w:i/>
                <w:sz w:val="24"/>
                <w:szCs w:val="24"/>
              </w:rPr>
              <w:t>Не достиг</w:t>
            </w:r>
          </w:p>
        </w:tc>
      </w:tr>
    </w:tbl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BD2">
        <w:rPr>
          <w:rFonts w:ascii="Times New Roman" w:hAnsi="Times New Roman" w:cs="Times New Roman"/>
          <w:b/>
          <w:sz w:val="24"/>
          <w:szCs w:val="24"/>
        </w:rPr>
        <w:t>*-</w:t>
      </w:r>
      <w:r w:rsidR="00AF457A">
        <w:rPr>
          <w:rFonts w:ascii="Times New Roman" w:hAnsi="Times New Roman" w:cs="Times New Roman"/>
          <w:b/>
          <w:sz w:val="24"/>
          <w:szCs w:val="24"/>
        </w:rPr>
        <w:t>пример</w:t>
      </w:r>
    </w:p>
    <w:sectPr w:rsidR="005E7945" w:rsidRPr="00D8545D" w:rsidSect="009D0AC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64" w:rsidRDefault="005E0764" w:rsidP="00983286">
      <w:pPr>
        <w:spacing w:after="0" w:line="240" w:lineRule="auto"/>
      </w:pPr>
      <w:r>
        <w:separator/>
      </w:r>
    </w:p>
  </w:endnote>
  <w:endnote w:type="continuationSeparator" w:id="0">
    <w:p w:rsidR="005E0764" w:rsidRDefault="005E0764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64" w:rsidRDefault="005E0764" w:rsidP="00983286">
      <w:pPr>
        <w:spacing w:after="0" w:line="240" w:lineRule="auto"/>
      </w:pPr>
      <w:r>
        <w:separator/>
      </w:r>
    </w:p>
  </w:footnote>
  <w:footnote w:type="continuationSeparator" w:id="0">
    <w:p w:rsidR="005E0764" w:rsidRDefault="005E0764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0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5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C6DBC"/>
    <w:multiLevelType w:val="hybridMultilevel"/>
    <w:tmpl w:val="3EE4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6DC377D"/>
    <w:multiLevelType w:val="hybridMultilevel"/>
    <w:tmpl w:val="0674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5"/>
  </w:num>
  <w:num w:numId="9">
    <w:abstractNumId w:val="0"/>
  </w:num>
  <w:num w:numId="10">
    <w:abstractNumId w:val="22"/>
  </w:num>
  <w:num w:numId="11">
    <w:abstractNumId w:val="1"/>
  </w:num>
  <w:num w:numId="12">
    <w:abstractNumId w:val="18"/>
  </w:num>
  <w:num w:numId="13">
    <w:abstractNumId w:val="24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2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D0B"/>
    <w:rsid w:val="00000697"/>
    <w:rsid w:val="00003DBB"/>
    <w:rsid w:val="00011516"/>
    <w:rsid w:val="000207CA"/>
    <w:rsid w:val="00024F02"/>
    <w:rsid w:val="00031390"/>
    <w:rsid w:val="00070D0E"/>
    <w:rsid w:val="00072859"/>
    <w:rsid w:val="000813FC"/>
    <w:rsid w:val="00085AD6"/>
    <w:rsid w:val="00086A48"/>
    <w:rsid w:val="00086B79"/>
    <w:rsid w:val="000923EE"/>
    <w:rsid w:val="00092DA7"/>
    <w:rsid w:val="0009477B"/>
    <w:rsid w:val="00096EC8"/>
    <w:rsid w:val="000A4F00"/>
    <w:rsid w:val="000A71E3"/>
    <w:rsid w:val="000B0B7E"/>
    <w:rsid w:val="000C3B40"/>
    <w:rsid w:val="000D13C2"/>
    <w:rsid w:val="000D15FE"/>
    <w:rsid w:val="000D6108"/>
    <w:rsid w:val="000E3197"/>
    <w:rsid w:val="00164FD3"/>
    <w:rsid w:val="001715FE"/>
    <w:rsid w:val="001A11E4"/>
    <w:rsid w:val="001A4C8B"/>
    <w:rsid w:val="001A5B32"/>
    <w:rsid w:val="001B4761"/>
    <w:rsid w:val="001B5101"/>
    <w:rsid w:val="001C7E41"/>
    <w:rsid w:val="001D6991"/>
    <w:rsid w:val="001E24DC"/>
    <w:rsid w:val="001F0DE3"/>
    <w:rsid w:val="00207829"/>
    <w:rsid w:val="002115D5"/>
    <w:rsid w:val="00222763"/>
    <w:rsid w:val="00241C1E"/>
    <w:rsid w:val="00245079"/>
    <w:rsid w:val="002474DD"/>
    <w:rsid w:val="002512CE"/>
    <w:rsid w:val="00256977"/>
    <w:rsid w:val="00261C8B"/>
    <w:rsid w:val="00263136"/>
    <w:rsid w:val="00266611"/>
    <w:rsid w:val="0027055C"/>
    <w:rsid w:val="00281DF4"/>
    <w:rsid w:val="00282DF4"/>
    <w:rsid w:val="002946EF"/>
    <w:rsid w:val="002A1BD2"/>
    <w:rsid w:val="002A4D0C"/>
    <w:rsid w:val="002B60A8"/>
    <w:rsid w:val="002B6EC5"/>
    <w:rsid w:val="002D0F26"/>
    <w:rsid w:val="002D5B2A"/>
    <w:rsid w:val="002E0B19"/>
    <w:rsid w:val="002E40C4"/>
    <w:rsid w:val="002F3F7A"/>
    <w:rsid w:val="0030642A"/>
    <w:rsid w:val="00315590"/>
    <w:rsid w:val="00325F68"/>
    <w:rsid w:val="0032792D"/>
    <w:rsid w:val="00335FFF"/>
    <w:rsid w:val="00344CA6"/>
    <w:rsid w:val="00360477"/>
    <w:rsid w:val="00367D6D"/>
    <w:rsid w:val="00371074"/>
    <w:rsid w:val="00372768"/>
    <w:rsid w:val="003843A7"/>
    <w:rsid w:val="003858CC"/>
    <w:rsid w:val="0039545D"/>
    <w:rsid w:val="00395E9E"/>
    <w:rsid w:val="003B3EF5"/>
    <w:rsid w:val="003B4809"/>
    <w:rsid w:val="003D2667"/>
    <w:rsid w:val="003D296F"/>
    <w:rsid w:val="003D619B"/>
    <w:rsid w:val="003E44AF"/>
    <w:rsid w:val="003F288D"/>
    <w:rsid w:val="003F4F96"/>
    <w:rsid w:val="00401A21"/>
    <w:rsid w:val="004049CD"/>
    <w:rsid w:val="00416791"/>
    <w:rsid w:val="00422EE7"/>
    <w:rsid w:val="00435C02"/>
    <w:rsid w:val="00437099"/>
    <w:rsid w:val="00440FBD"/>
    <w:rsid w:val="0044223C"/>
    <w:rsid w:val="00447FBD"/>
    <w:rsid w:val="00452FE5"/>
    <w:rsid w:val="00464115"/>
    <w:rsid w:val="004653BA"/>
    <w:rsid w:val="00470C3F"/>
    <w:rsid w:val="00485591"/>
    <w:rsid w:val="00486A4C"/>
    <w:rsid w:val="004A4A65"/>
    <w:rsid w:val="004A51D3"/>
    <w:rsid w:val="004F3166"/>
    <w:rsid w:val="00515E2F"/>
    <w:rsid w:val="005239D3"/>
    <w:rsid w:val="00531FE9"/>
    <w:rsid w:val="005340DB"/>
    <w:rsid w:val="005375D9"/>
    <w:rsid w:val="00543935"/>
    <w:rsid w:val="005518E3"/>
    <w:rsid w:val="00555626"/>
    <w:rsid w:val="00573A32"/>
    <w:rsid w:val="00583984"/>
    <w:rsid w:val="005860C6"/>
    <w:rsid w:val="00590AC0"/>
    <w:rsid w:val="005A0A1A"/>
    <w:rsid w:val="005A3225"/>
    <w:rsid w:val="005A65CA"/>
    <w:rsid w:val="005B24F2"/>
    <w:rsid w:val="005B79FF"/>
    <w:rsid w:val="005D51CB"/>
    <w:rsid w:val="005D5285"/>
    <w:rsid w:val="005D5732"/>
    <w:rsid w:val="005D5F23"/>
    <w:rsid w:val="005E0764"/>
    <w:rsid w:val="005E4370"/>
    <w:rsid w:val="005E7945"/>
    <w:rsid w:val="00604062"/>
    <w:rsid w:val="00606F2F"/>
    <w:rsid w:val="0062290E"/>
    <w:rsid w:val="006273BC"/>
    <w:rsid w:val="00630CA8"/>
    <w:rsid w:val="00631368"/>
    <w:rsid w:val="00634BDD"/>
    <w:rsid w:val="00634E50"/>
    <w:rsid w:val="00636BAA"/>
    <w:rsid w:val="00640C59"/>
    <w:rsid w:val="006454B0"/>
    <w:rsid w:val="00653A93"/>
    <w:rsid w:val="0067409A"/>
    <w:rsid w:val="0067517C"/>
    <w:rsid w:val="006A2894"/>
    <w:rsid w:val="006C0600"/>
    <w:rsid w:val="006D3350"/>
    <w:rsid w:val="006D3B8B"/>
    <w:rsid w:val="006E2BA8"/>
    <w:rsid w:val="006E4D39"/>
    <w:rsid w:val="006E6BDF"/>
    <w:rsid w:val="006F1E5D"/>
    <w:rsid w:val="006F2675"/>
    <w:rsid w:val="006F7A22"/>
    <w:rsid w:val="00716AC9"/>
    <w:rsid w:val="00717CF6"/>
    <w:rsid w:val="007257E8"/>
    <w:rsid w:val="00726E08"/>
    <w:rsid w:val="00732A0D"/>
    <w:rsid w:val="00735613"/>
    <w:rsid w:val="007366BD"/>
    <w:rsid w:val="0074302F"/>
    <w:rsid w:val="007449C2"/>
    <w:rsid w:val="00745561"/>
    <w:rsid w:val="00745E40"/>
    <w:rsid w:val="007500D4"/>
    <w:rsid w:val="007612A8"/>
    <w:rsid w:val="0076445E"/>
    <w:rsid w:val="00771A5E"/>
    <w:rsid w:val="00773642"/>
    <w:rsid w:val="00774E57"/>
    <w:rsid w:val="0077785B"/>
    <w:rsid w:val="007910E4"/>
    <w:rsid w:val="00796632"/>
    <w:rsid w:val="007A6DD4"/>
    <w:rsid w:val="007B0E39"/>
    <w:rsid w:val="007B1501"/>
    <w:rsid w:val="007C063E"/>
    <w:rsid w:val="007C4B33"/>
    <w:rsid w:val="007C596D"/>
    <w:rsid w:val="007D4F86"/>
    <w:rsid w:val="007E11E0"/>
    <w:rsid w:val="007E4947"/>
    <w:rsid w:val="007F3F68"/>
    <w:rsid w:val="00802476"/>
    <w:rsid w:val="00810E1A"/>
    <w:rsid w:val="00812724"/>
    <w:rsid w:val="0081384E"/>
    <w:rsid w:val="0082291C"/>
    <w:rsid w:val="008376A3"/>
    <w:rsid w:val="00846A67"/>
    <w:rsid w:val="008503D1"/>
    <w:rsid w:val="00852F64"/>
    <w:rsid w:val="008670B8"/>
    <w:rsid w:val="00876D4A"/>
    <w:rsid w:val="00881353"/>
    <w:rsid w:val="008A24FB"/>
    <w:rsid w:val="008A41D7"/>
    <w:rsid w:val="008A4B4D"/>
    <w:rsid w:val="008C0B9E"/>
    <w:rsid w:val="008C72F0"/>
    <w:rsid w:val="008D26B2"/>
    <w:rsid w:val="008D7A49"/>
    <w:rsid w:val="008E4F72"/>
    <w:rsid w:val="008F3069"/>
    <w:rsid w:val="009134DF"/>
    <w:rsid w:val="00921C70"/>
    <w:rsid w:val="009351BB"/>
    <w:rsid w:val="00940E8F"/>
    <w:rsid w:val="0094294A"/>
    <w:rsid w:val="009435ED"/>
    <w:rsid w:val="00961C95"/>
    <w:rsid w:val="00967E2D"/>
    <w:rsid w:val="00973B6E"/>
    <w:rsid w:val="00983286"/>
    <w:rsid w:val="00994BF6"/>
    <w:rsid w:val="009B7A35"/>
    <w:rsid w:val="009C7D6F"/>
    <w:rsid w:val="009D0AC6"/>
    <w:rsid w:val="009D32F7"/>
    <w:rsid w:val="009E0F2F"/>
    <w:rsid w:val="009E1C15"/>
    <w:rsid w:val="009F1E67"/>
    <w:rsid w:val="009F7015"/>
    <w:rsid w:val="00A02F11"/>
    <w:rsid w:val="00A032C8"/>
    <w:rsid w:val="00A20532"/>
    <w:rsid w:val="00A27709"/>
    <w:rsid w:val="00A34BF6"/>
    <w:rsid w:val="00A44B50"/>
    <w:rsid w:val="00A5234B"/>
    <w:rsid w:val="00A62355"/>
    <w:rsid w:val="00A63EDB"/>
    <w:rsid w:val="00A6433A"/>
    <w:rsid w:val="00A673F8"/>
    <w:rsid w:val="00A67FF3"/>
    <w:rsid w:val="00A704B7"/>
    <w:rsid w:val="00A7365A"/>
    <w:rsid w:val="00A81146"/>
    <w:rsid w:val="00A977B0"/>
    <w:rsid w:val="00AA7DA9"/>
    <w:rsid w:val="00AB4A60"/>
    <w:rsid w:val="00AD5ED1"/>
    <w:rsid w:val="00AF457A"/>
    <w:rsid w:val="00AF5276"/>
    <w:rsid w:val="00B033B6"/>
    <w:rsid w:val="00B05E90"/>
    <w:rsid w:val="00B47B4C"/>
    <w:rsid w:val="00B87374"/>
    <w:rsid w:val="00B9453C"/>
    <w:rsid w:val="00BA4A56"/>
    <w:rsid w:val="00BC3502"/>
    <w:rsid w:val="00BD081D"/>
    <w:rsid w:val="00BD7166"/>
    <w:rsid w:val="00BF0BC1"/>
    <w:rsid w:val="00BF191B"/>
    <w:rsid w:val="00C05C0E"/>
    <w:rsid w:val="00C108D4"/>
    <w:rsid w:val="00C1118B"/>
    <w:rsid w:val="00C12785"/>
    <w:rsid w:val="00C13F1A"/>
    <w:rsid w:val="00C173D8"/>
    <w:rsid w:val="00C20253"/>
    <w:rsid w:val="00C273D0"/>
    <w:rsid w:val="00C31CD7"/>
    <w:rsid w:val="00C44B6C"/>
    <w:rsid w:val="00C51C4F"/>
    <w:rsid w:val="00C60E10"/>
    <w:rsid w:val="00C639D5"/>
    <w:rsid w:val="00C65D03"/>
    <w:rsid w:val="00C6651E"/>
    <w:rsid w:val="00C72D92"/>
    <w:rsid w:val="00C740AF"/>
    <w:rsid w:val="00C776DA"/>
    <w:rsid w:val="00C926E4"/>
    <w:rsid w:val="00CA1727"/>
    <w:rsid w:val="00CB573D"/>
    <w:rsid w:val="00CC2000"/>
    <w:rsid w:val="00CD09B1"/>
    <w:rsid w:val="00CD4DBC"/>
    <w:rsid w:val="00CE1736"/>
    <w:rsid w:val="00D00A45"/>
    <w:rsid w:val="00D03D0B"/>
    <w:rsid w:val="00D31E4D"/>
    <w:rsid w:val="00D361FB"/>
    <w:rsid w:val="00D57F7C"/>
    <w:rsid w:val="00D805A5"/>
    <w:rsid w:val="00D84267"/>
    <w:rsid w:val="00D8545D"/>
    <w:rsid w:val="00D93CF6"/>
    <w:rsid w:val="00D9426C"/>
    <w:rsid w:val="00DB0BBF"/>
    <w:rsid w:val="00DD7E1F"/>
    <w:rsid w:val="00DE0891"/>
    <w:rsid w:val="00DF0772"/>
    <w:rsid w:val="00DF6769"/>
    <w:rsid w:val="00DF6BAC"/>
    <w:rsid w:val="00E11E2D"/>
    <w:rsid w:val="00E156AB"/>
    <w:rsid w:val="00E5422A"/>
    <w:rsid w:val="00E56CCD"/>
    <w:rsid w:val="00E63EC9"/>
    <w:rsid w:val="00E71B67"/>
    <w:rsid w:val="00E81372"/>
    <w:rsid w:val="00E94210"/>
    <w:rsid w:val="00E956D1"/>
    <w:rsid w:val="00E97BF6"/>
    <w:rsid w:val="00EB00E0"/>
    <w:rsid w:val="00EB3381"/>
    <w:rsid w:val="00EB43C7"/>
    <w:rsid w:val="00EB5F0F"/>
    <w:rsid w:val="00EC0CFF"/>
    <w:rsid w:val="00ED4675"/>
    <w:rsid w:val="00EE2437"/>
    <w:rsid w:val="00F032B0"/>
    <w:rsid w:val="00F049B0"/>
    <w:rsid w:val="00F06F3A"/>
    <w:rsid w:val="00F15EEC"/>
    <w:rsid w:val="00F178F4"/>
    <w:rsid w:val="00F17F49"/>
    <w:rsid w:val="00F26037"/>
    <w:rsid w:val="00F349FB"/>
    <w:rsid w:val="00F43412"/>
    <w:rsid w:val="00F46BFB"/>
    <w:rsid w:val="00F52201"/>
    <w:rsid w:val="00F53235"/>
    <w:rsid w:val="00F5694A"/>
    <w:rsid w:val="00F65DDA"/>
    <w:rsid w:val="00F74B7E"/>
    <w:rsid w:val="00F85551"/>
    <w:rsid w:val="00F85AAD"/>
    <w:rsid w:val="00F8694D"/>
    <w:rsid w:val="00F93D70"/>
    <w:rsid w:val="00FB1F41"/>
    <w:rsid w:val="00FC4762"/>
    <w:rsid w:val="00FD106F"/>
    <w:rsid w:val="00FD314A"/>
    <w:rsid w:val="00FE72C6"/>
    <w:rsid w:val="00FE78F1"/>
    <w:rsid w:val="00FF0BAE"/>
    <w:rsid w:val="00FF1FC7"/>
    <w:rsid w:val="00FF2E9F"/>
    <w:rsid w:val="00FF7443"/>
    <w:rsid w:val="00FF793A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5C36-51BC-42CC-8C26-49E33016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6601</Words>
  <Characters>37629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7</cp:revision>
  <cp:lastPrinted>2018-07-03T11:51:00Z</cp:lastPrinted>
  <dcterms:created xsi:type="dcterms:W3CDTF">2018-01-15T04:40:00Z</dcterms:created>
  <dcterms:modified xsi:type="dcterms:W3CDTF">2019-06-17T10:07:00Z</dcterms:modified>
</cp:coreProperties>
</file>